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3" w:type="dxa"/>
        <w:tblInd w:w="-569" w:type="dxa"/>
        <w:tblLayout w:type="fixed"/>
        <w:tblCellMar>
          <w:left w:w="0" w:type="dxa"/>
          <w:right w:w="0" w:type="dxa"/>
        </w:tblCellMar>
        <w:tblLook w:val="0000" w:firstRow="0" w:lastRow="0" w:firstColumn="0" w:lastColumn="0" w:noHBand="0" w:noVBand="0"/>
      </w:tblPr>
      <w:tblGrid>
        <w:gridCol w:w="3004"/>
        <w:gridCol w:w="6559"/>
        <w:gridCol w:w="74"/>
        <w:gridCol w:w="325"/>
        <w:gridCol w:w="89"/>
        <w:gridCol w:w="174"/>
        <w:gridCol w:w="8"/>
      </w:tblGrid>
      <w:tr w:rsidR="00C72D02" w:rsidRPr="00327A34" w:rsidTr="00C72D02">
        <w:trPr>
          <w:trHeight w:val="424"/>
        </w:trPr>
        <w:tc>
          <w:tcPr>
            <w:tcW w:w="10233" w:type="dxa"/>
            <w:gridSpan w:val="7"/>
            <w:tcBorders>
              <w:top w:val="single" w:sz="20" w:space="0" w:color="000000"/>
              <w:left w:val="single" w:sz="20" w:space="0" w:color="000000"/>
              <w:bottom w:val="single" w:sz="20" w:space="0" w:color="000000"/>
              <w:right w:val="single" w:sz="20" w:space="0" w:color="000000"/>
            </w:tcBorders>
            <w:shd w:val="clear" w:color="auto" w:fill="auto"/>
            <w:vAlign w:val="center"/>
          </w:tcPr>
          <w:p w:rsidR="00AE4F28" w:rsidRDefault="00AE4F28" w:rsidP="00AE4F28">
            <w:pPr>
              <w:spacing w:after="0" w:line="240" w:lineRule="auto"/>
              <w:rPr>
                <w:rFonts w:ascii="Times New Roman" w:eastAsia="Times New Roman" w:hAnsi="Times New Roman"/>
                <w:i/>
                <w:noProof/>
                <w:sz w:val="24"/>
                <w:szCs w:val="24"/>
                <w:lang w:eastAsia="hr-HR"/>
              </w:rPr>
            </w:pPr>
            <w:r>
              <w:rPr>
                <w:rFonts w:ascii="Times New Roman" w:eastAsia="Times New Roman" w:hAnsi="Times New Roman"/>
                <w:noProof/>
                <w:sz w:val="24"/>
                <w:szCs w:val="24"/>
                <w:lang w:eastAsia="hr-HR"/>
              </w:rPr>
              <w:t xml:space="preserve">                  </w:t>
            </w:r>
            <w:r w:rsidR="00855629">
              <w:rPr>
                <w:rFonts w:ascii="Times New Roman" w:eastAsia="Times New Roman" w:hAnsi="Times New Roman"/>
                <w:noProof/>
                <w:sz w:val="24"/>
                <w:szCs w:val="24"/>
                <w:lang w:eastAsia="hr-HR"/>
              </w:rPr>
              <w:drawing>
                <wp:inline distT="0" distB="0" distL="0" distR="0">
                  <wp:extent cx="390525" cy="504825"/>
                  <wp:effectExtent l="19050" t="0" r="9525" b="0"/>
                  <wp:docPr id="1" name="Picture 1" descr="grbRH-s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sivi"/>
                          <pic:cNvPicPr>
                            <a:picLocks noChangeAspect="1" noChangeArrowheads="1"/>
                          </pic:cNvPicPr>
                        </pic:nvPicPr>
                        <pic:blipFill>
                          <a:blip r:embed="rId7" cstate="print">
                            <a:lum contrast="28000"/>
                          </a:blip>
                          <a:srcRect/>
                          <a:stretch>
                            <a:fillRect/>
                          </a:stretch>
                        </pic:blipFill>
                        <pic:spPr bwMode="auto">
                          <a:xfrm>
                            <a:off x="0" y="0"/>
                            <a:ext cx="390525" cy="504825"/>
                          </a:xfrm>
                          <a:prstGeom prst="rect">
                            <a:avLst/>
                          </a:prstGeom>
                          <a:noFill/>
                          <a:ln w="9525">
                            <a:noFill/>
                            <a:miter lim="800000"/>
                            <a:headEnd/>
                            <a:tailEnd/>
                          </a:ln>
                        </pic:spPr>
                      </pic:pic>
                    </a:graphicData>
                  </a:graphic>
                </wp:inline>
              </w:drawing>
            </w:r>
          </w:p>
          <w:p w:rsidR="00AE4F28" w:rsidRDefault="00AE4F28" w:rsidP="00AE4F28">
            <w:pPr>
              <w:spacing w:after="0" w:line="240" w:lineRule="auto"/>
              <w:ind w:left="720" w:firstLine="720"/>
              <w:rPr>
                <w:rFonts w:ascii="Times New Roman" w:eastAsia="Times New Roman" w:hAnsi="Times New Roman"/>
                <w:noProof/>
                <w:sz w:val="12"/>
                <w:szCs w:val="24"/>
                <w:lang w:eastAsia="hr-HR"/>
              </w:rPr>
            </w:pPr>
          </w:p>
          <w:tbl>
            <w:tblPr>
              <w:tblW w:w="9825" w:type="dxa"/>
              <w:tblLayout w:type="fixed"/>
              <w:tblLook w:val="04A0" w:firstRow="1" w:lastRow="0" w:firstColumn="1" w:lastColumn="0" w:noHBand="0" w:noVBand="1"/>
            </w:tblPr>
            <w:tblGrid>
              <w:gridCol w:w="567"/>
              <w:gridCol w:w="9258"/>
            </w:tblGrid>
            <w:tr w:rsidR="00AE4F28" w:rsidTr="00AE4F28">
              <w:tc>
                <w:tcPr>
                  <w:tcW w:w="567" w:type="dxa"/>
                  <w:hideMark/>
                </w:tcPr>
                <w:p w:rsidR="00AE4F28" w:rsidRDefault="00855629">
                  <w:pPr>
                    <w:spacing w:after="0" w:line="240" w:lineRule="auto"/>
                    <w:rPr>
                      <w:rFonts w:ascii="Times New Roman" w:eastAsia="Times New Roman" w:hAnsi="Times New Roman"/>
                      <w:noProof/>
                      <w:sz w:val="24"/>
                      <w:szCs w:val="24"/>
                      <w:lang w:eastAsia="hr-HR"/>
                    </w:rPr>
                  </w:pPr>
                  <w:r>
                    <w:rPr>
                      <w:rFonts w:ascii="Times New Roman" w:eastAsia="Times New Roman" w:hAnsi="Times New Roman"/>
                      <w:noProof/>
                      <w:sz w:val="24"/>
                      <w:szCs w:val="24"/>
                      <w:lang w:eastAsia="hr-HR"/>
                    </w:rPr>
                    <w:drawing>
                      <wp:inline distT="0" distB="0" distL="0" distR="0">
                        <wp:extent cx="295275" cy="352425"/>
                        <wp:effectExtent l="19050" t="0" r="9525" b="0"/>
                        <wp:docPr id="2" name="Picture 2" descr="grb župa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županije"/>
                                <pic:cNvPicPr>
                                  <a:picLocks noChangeAspect="1" noChangeArrowheads="1"/>
                                </pic:cNvPicPr>
                              </pic:nvPicPr>
                              <pic:blipFill>
                                <a:blip r:embed="rId8"/>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9262" w:type="dxa"/>
                </w:tcPr>
                <w:p w:rsidR="00AE4F28" w:rsidRDefault="00AE4F28">
                  <w:pPr>
                    <w:spacing w:after="0" w:line="240" w:lineRule="auto"/>
                    <w:rPr>
                      <w:rFonts w:ascii="Book Antiqua" w:eastAsia="Times New Roman" w:hAnsi="Book Antiqua"/>
                      <w:b/>
                      <w:noProof/>
                      <w:lang w:eastAsia="hr-HR"/>
                    </w:rPr>
                  </w:pPr>
                  <w:r>
                    <w:rPr>
                      <w:rFonts w:ascii="Book Antiqua" w:eastAsia="Times New Roman" w:hAnsi="Book Antiqua"/>
                      <w:b/>
                      <w:noProof/>
                      <w:lang w:eastAsia="hr-HR"/>
                    </w:rPr>
                    <w:t>REPUBLIKA HRVATSKA</w:t>
                  </w:r>
                </w:p>
                <w:p w:rsidR="00AE4F28" w:rsidRDefault="00AE4F28">
                  <w:pPr>
                    <w:spacing w:after="0" w:line="240" w:lineRule="auto"/>
                    <w:rPr>
                      <w:rFonts w:ascii="Book Antiqua" w:eastAsia="Times New Roman" w:hAnsi="Book Antiqua"/>
                      <w:b/>
                      <w:noProof/>
                      <w:sz w:val="20"/>
                      <w:szCs w:val="20"/>
                      <w:lang w:eastAsia="hr-HR"/>
                    </w:rPr>
                  </w:pPr>
                  <w:r>
                    <w:rPr>
                      <w:rFonts w:ascii="Book Antiqua" w:eastAsia="Times New Roman" w:hAnsi="Book Antiqua"/>
                      <w:b/>
                      <w:noProof/>
                      <w:sz w:val="20"/>
                      <w:szCs w:val="20"/>
                      <w:lang w:eastAsia="hr-HR"/>
                    </w:rPr>
                    <w:t>LIČKO-SENJSKA ŽUPANIJA</w:t>
                  </w:r>
                </w:p>
                <w:p w:rsidR="00AE4F28" w:rsidRDefault="00AE4F28">
                  <w:pPr>
                    <w:spacing w:after="0" w:line="240" w:lineRule="auto"/>
                    <w:ind w:left="-648" w:firstLine="648"/>
                    <w:rPr>
                      <w:rFonts w:ascii="Book Antiqua" w:eastAsia="Times New Roman" w:hAnsi="Book Antiqua"/>
                      <w:noProof/>
                      <w:sz w:val="24"/>
                      <w:szCs w:val="24"/>
                      <w:lang w:eastAsia="hr-HR"/>
                    </w:rPr>
                  </w:pPr>
                </w:p>
              </w:tc>
            </w:tr>
          </w:tbl>
          <w:p w:rsidR="00C72D02" w:rsidRPr="00111527" w:rsidRDefault="00C72D02" w:rsidP="00C72D02">
            <w:pPr>
              <w:suppressAutoHyphens/>
              <w:snapToGrid w:val="0"/>
              <w:spacing w:after="0" w:line="240" w:lineRule="auto"/>
              <w:jc w:val="center"/>
              <w:rPr>
                <w:rFonts w:ascii="Times New Roman" w:hAnsi="Times New Roman"/>
                <w:b/>
                <w:bCs/>
                <w:sz w:val="24"/>
                <w:szCs w:val="24"/>
                <w:lang w:eastAsia="ar-SA"/>
              </w:rPr>
            </w:pPr>
          </w:p>
        </w:tc>
      </w:tr>
      <w:tr w:rsidR="00C72D02" w:rsidRPr="00327A34" w:rsidTr="00C72D02">
        <w:trPr>
          <w:trHeight w:val="544"/>
        </w:trPr>
        <w:tc>
          <w:tcPr>
            <w:tcW w:w="10233" w:type="dxa"/>
            <w:gridSpan w:val="7"/>
            <w:tcBorders>
              <w:top w:val="single" w:sz="20" w:space="0" w:color="000000"/>
              <w:left w:val="single" w:sz="20" w:space="0" w:color="000000"/>
              <w:bottom w:val="single" w:sz="20" w:space="0" w:color="000000"/>
              <w:right w:val="single" w:sz="20" w:space="0" w:color="000000"/>
            </w:tcBorders>
            <w:shd w:val="clear" w:color="auto" w:fill="auto"/>
            <w:vAlign w:val="center"/>
          </w:tcPr>
          <w:p w:rsidR="00AE4F28" w:rsidRDefault="00C72D02" w:rsidP="00AE4F28">
            <w:pPr>
              <w:spacing w:after="0" w:line="240" w:lineRule="auto"/>
              <w:jc w:val="center"/>
              <w:rPr>
                <w:rFonts w:ascii="Times New Roman" w:hAnsi="Times New Roman"/>
                <w:b/>
                <w:sz w:val="24"/>
                <w:szCs w:val="24"/>
              </w:rPr>
            </w:pPr>
            <w:r w:rsidRPr="00C72D02">
              <w:rPr>
                <w:rFonts w:ascii="Times New Roman" w:hAnsi="Times New Roman"/>
                <w:b/>
                <w:sz w:val="24"/>
                <w:szCs w:val="24"/>
              </w:rPr>
              <w:t>OBRAZLOŽENJE FINA</w:t>
            </w:r>
            <w:r w:rsidR="00B4543B">
              <w:rPr>
                <w:rFonts w:ascii="Times New Roman" w:hAnsi="Times New Roman"/>
                <w:b/>
                <w:sz w:val="24"/>
                <w:szCs w:val="24"/>
              </w:rPr>
              <w:t>NCIJSKOG PLANA</w:t>
            </w:r>
          </w:p>
          <w:p w:rsidR="00C72D02" w:rsidRPr="00C72D02" w:rsidRDefault="00B4543B" w:rsidP="00AC5FEB">
            <w:pPr>
              <w:spacing w:after="0" w:line="240" w:lineRule="auto"/>
              <w:jc w:val="center"/>
              <w:rPr>
                <w:rFonts w:ascii="Times New Roman" w:hAnsi="Times New Roman"/>
                <w:b/>
                <w:sz w:val="24"/>
                <w:szCs w:val="24"/>
              </w:rPr>
            </w:pPr>
            <w:r>
              <w:rPr>
                <w:rFonts w:ascii="Times New Roman" w:hAnsi="Times New Roman"/>
                <w:b/>
                <w:sz w:val="24"/>
                <w:szCs w:val="24"/>
              </w:rPr>
              <w:t>ZA RAZDOBLJE 201</w:t>
            </w:r>
            <w:r w:rsidR="00AC5FEB">
              <w:rPr>
                <w:rFonts w:ascii="Times New Roman" w:hAnsi="Times New Roman"/>
                <w:b/>
                <w:sz w:val="24"/>
                <w:szCs w:val="24"/>
              </w:rPr>
              <w:t>9</w:t>
            </w:r>
            <w:r w:rsidR="00C72D02" w:rsidRPr="00C72D02">
              <w:rPr>
                <w:rFonts w:ascii="Times New Roman" w:hAnsi="Times New Roman"/>
                <w:b/>
                <w:sz w:val="24"/>
                <w:szCs w:val="24"/>
              </w:rPr>
              <w:t>. - 20</w:t>
            </w:r>
            <w:r w:rsidR="00AC5FEB">
              <w:rPr>
                <w:rFonts w:ascii="Times New Roman" w:hAnsi="Times New Roman"/>
                <w:b/>
                <w:sz w:val="24"/>
                <w:szCs w:val="24"/>
              </w:rPr>
              <w:t>21</w:t>
            </w:r>
            <w:r w:rsidR="00C72D02" w:rsidRPr="00C72D02">
              <w:rPr>
                <w:rFonts w:ascii="Times New Roman" w:hAnsi="Times New Roman"/>
                <w:b/>
                <w:sz w:val="24"/>
                <w:szCs w:val="24"/>
              </w:rPr>
              <w:t>.</w:t>
            </w:r>
            <w:r w:rsidR="00C72D02">
              <w:rPr>
                <w:rFonts w:ascii="Times New Roman" w:hAnsi="Times New Roman"/>
                <w:b/>
                <w:sz w:val="24"/>
                <w:szCs w:val="24"/>
              </w:rPr>
              <w:t xml:space="preserve"> GODINE</w:t>
            </w:r>
          </w:p>
        </w:tc>
      </w:tr>
      <w:tr w:rsidR="00111527" w:rsidRPr="00327A34" w:rsidTr="008A65D2">
        <w:trPr>
          <w:trHeight w:val="424"/>
        </w:trPr>
        <w:tc>
          <w:tcPr>
            <w:tcW w:w="3004" w:type="dxa"/>
            <w:tcBorders>
              <w:top w:val="single" w:sz="20" w:space="0" w:color="000000"/>
              <w:left w:val="single" w:sz="20" w:space="0" w:color="000000"/>
              <w:bottom w:val="single" w:sz="20" w:space="0" w:color="000000"/>
              <w:right w:val="single" w:sz="18" w:space="0" w:color="auto"/>
            </w:tcBorders>
            <w:shd w:val="clear" w:color="auto" w:fill="auto"/>
            <w:vAlign w:val="center"/>
          </w:tcPr>
          <w:p w:rsidR="00111527" w:rsidRPr="00111527" w:rsidRDefault="00111527" w:rsidP="00514856">
            <w:pPr>
              <w:suppressAutoHyphens/>
              <w:snapToGrid w:val="0"/>
              <w:spacing w:after="0" w:line="240" w:lineRule="auto"/>
              <w:ind w:left="113"/>
              <w:rPr>
                <w:rFonts w:ascii="Times New Roman" w:hAnsi="Times New Roman"/>
                <w:b/>
                <w:lang w:eastAsia="ar-SA"/>
              </w:rPr>
            </w:pPr>
            <w:r w:rsidRPr="00111527">
              <w:rPr>
                <w:rFonts w:ascii="Times New Roman" w:hAnsi="Times New Roman"/>
                <w:b/>
                <w:lang w:eastAsia="ar-SA"/>
              </w:rPr>
              <w:t xml:space="preserve">NAZIV </w:t>
            </w:r>
            <w:r w:rsidR="00AE4F28">
              <w:rPr>
                <w:rFonts w:ascii="Times New Roman" w:hAnsi="Times New Roman"/>
                <w:b/>
                <w:lang w:eastAsia="ar-SA"/>
              </w:rPr>
              <w:t xml:space="preserve">PRORAČUNSKOG </w:t>
            </w:r>
            <w:r w:rsidRPr="00111527">
              <w:rPr>
                <w:rFonts w:ascii="Times New Roman" w:hAnsi="Times New Roman"/>
                <w:b/>
                <w:lang w:eastAsia="ar-SA"/>
              </w:rPr>
              <w:t>KORISNIKA</w:t>
            </w:r>
          </w:p>
        </w:tc>
        <w:tc>
          <w:tcPr>
            <w:tcW w:w="7229" w:type="dxa"/>
            <w:gridSpan w:val="6"/>
            <w:tcBorders>
              <w:top w:val="single" w:sz="20" w:space="0" w:color="000000"/>
              <w:left w:val="single" w:sz="18" w:space="0" w:color="auto"/>
              <w:bottom w:val="single" w:sz="20" w:space="0" w:color="000000"/>
              <w:right w:val="single" w:sz="20" w:space="0" w:color="000000"/>
            </w:tcBorders>
            <w:shd w:val="clear" w:color="auto" w:fill="auto"/>
            <w:vAlign w:val="center"/>
          </w:tcPr>
          <w:p w:rsidR="00111527" w:rsidRPr="00111527" w:rsidRDefault="00111527" w:rsidP="00111527">
            <w:pPr>
              <w:suppressAutoHyphens/>
              <w:snapToGrid w:val="0"/>
              <w:spacing w:after="0" w:line="240" w:lineRule="auto"/>
              <w:rPr>
                <w:rFonts w:ascii="Times New Roman" w:hAnsi="Times New Roman"/>
                <w:b/>
                <w:bCs/>
                <w:sz w:val="24"/>
                <w:szCs w:val="24"/>
                <w:lang w:eastAsia="ar-SA"/>
              </w:rPr>
            </w:pPr>
            <w:r w:rsidRPr="00111527">
              <w:rPr>
                <w:rFonts w:ascii="Times New Roman" w:hAnsi="Times New Roman"/>
                <w:b/>
                <w:bCs/>
                <w:sz w:val="24"/>
                <w:szCs w:val="24"/>
                <w:lang w:eastAsia="ar-SA"/>
              </w:rPr>
              <w:t xml:space="preserve">  </w:t>
            </w:r>
            <w:r w:rsidR="004D7503">
              <w:rPr>
                <w:rFonts w:ascii="Times New Roman" w:hAnsi="Times New Roman"/>
                <w:b/>
                <w:bCs/>
                <w:sz w:val="24"/>
                <w:szCs w:val="24"/>
                <w:lang w:eastAsia="ar-SA"/>
              </w:rPr>
              <w:t>OSNOVNA ŠKOLA LOVINAC</w:t>
            </w:r>
          </w:p>
        </w:tc>
      </w:tr>
      <w:tr w:rsidR="00111527" w:rsidRPr="00327A34" w:rsidTr="00C72D02">
        <w:trPr>
          <w:trHeight w:val="462"/>
        </w:trPr>
        <w:tc>
          <w:tcPr>
            <w:tcW w:w="3004" w:type="dxa"/>
            <w:tcBorders>
              <w:top w:val="single" w:sz="4" w:space="0" w:color="000000"/>
              <w:left w:val="single" w:sz="6" w:space="0" w:color="auto"/>
              <w:bottom w:val="single" w:sz="6" w:space="0" w:color="auto"/>
              <w:right w:val="single" w:sz="6" w:space="0" w:color="auto"/>
            </w:tcBorders>
            <w:shd w:val="clear" w:color="auto" w:fill="auto"/>
            <w:vAlign w:val="center"/>
          </w:tcPr>
          <w:p w:rsidR="00AE4F28" w:rsidRDefault="00BC70A2" w:rsidP="00BC70A2">
            <w:pPr>
              <w:suppressAutoHyphens/>
              <w:snapToGrid w:val="0"/>
              <w:spacing w:after="0" w:line="240" w:lineRule="auto"/>
              <w:rPr>
                <w:rFonts w:ascii="Times New Roman" w:hAnsi="Times New Roman"/>
                <w:lang w:eastAsia="ar-SA"/>
              </w:rPr>
            </w:pPr>
            <w:r>
              <w:rPr>
                <w:rFonts w:ascii="Times New Roman" w:hAnsi="Times New Roman"/>
                <w:lang w:eastAsia="ar-SA"/>
              </w:rPr>
              <w:t xml:space="preserve">  </w:t>
            </w:r>
            <w:r w:rsidR="00AE4F28">
              <w:rPr>
                <w:rFonts w:ascii="Times New Roman" w:hAnsi="Times New Roman"/>
                <w:lang w:eastAsia="ar-SA"/>
              </w:rPr>
              <w:t xml:space="preserve">SAŽETAK </w:t>
            </w:r>
            <w:r>
              <w:rPr>
                <w:rFonts w:ascii="Times New Roman" w:hAnsi="Times New Roman"/>
                <w:lang w:eastAsia="ar-SA"/>
              </w:rPr>
              <w:t>DJELOKRUG</w:t>
            </w:r>
            <w:r w:rsidR="00AE4F28">
              <w:rPr>
                <w:rFonts w:ascii="Times New Roman" w:hAnsi="Times New Roman"/>
                <w:lang w:eastAsia="ar-SA"/>
              </w:rPr>
              <w:t>A</w:t>
            </w:r>
            <w:r>
              <w:rPr>
                <w:rFonts w:ascii="Times New Roman" w:hAnsi="Times New Roman"/>
                <w:lang w:eastAsia="ar-SA"/>
              </w:rPr>
              <w:t xml:space="preserve"> </w:t>
            </w:r>
          </w:p>
          <w:p w:rsidR="00111527" w:rsidRPr="00111527" w:rsidRDefault="00AE4F28" w:rsidP="00BC70A2">
            <w:pPr>
              <w:suppressAutoHyphens/>
              <w:snapToGrid w:val="0"/>
              <w:spacing w:after="0" w:line="240" w:lineRule="auto"/>
              <w:rPr>
                <w:rFonts w:ascii="Times New Roman" w:hAnsi="Times New Roman"/>
                <w:lang w:eastAsia="ar-SA"/>
              </w:rPr>
            </w:pPr>
            <w:r>
              <w:rPr>
                <w:rFonts w:ascii="Times New Roman" w:hAnsi="Times New Roman"/>
                <w:lang w:eastAsia="ar-SA"/>
              </w:rPr>
              <w:t xml:space="preserve">  </w:t>
            </w:r>
            <w:r w:rsidR="00111527" w:rsidRPr="00111527">
              <w:rPr>
                <w:rFonts w:ascii="Times New Roman" w:hAnsi="Times New Roman"/>
                <w:lang w:eastAsia="ar-SA"/>
              </w:rPr>
              <w:t>RADA</w:t>
            </w:r>
            <w:r>
              <w:rPr>
                <w:rFonts w:ascii="Times New Roman" w:hAnsi="Times New Roman"/>
                <w:lang w:eastAsia="ar-SA"/>
              </w:rPr>
              <w:t>:</w:t>
            </w:r>
          </w:p>
        </w:tc>
        <w:tc>
          <w:tcPr>
            <w:tcW w:w="7229" w:type="dxa"/>
            <w:gridSpan w:val="6"/>
            <w:tcBorders>
              <w:top w:val="single" w:sz="4" w:space="0" w:color="000000"/>
              <w:left w:val="single" w:sz="6" w:space="0" w:color="auto"/>
              <w:bottom w:val="single" w:sz="6" w:space="0" w:color="auto"/>
              <w:right w:val="single" w:sz="6" w:space="0" w:color="auto"/>
            </w:tcBorders>
            <w:shd w:val="clear" w:color="auto" w:fill="auto"/>
          </w:tcPr>
          <w:p w:rsidR="004D7503" w:rsidRPr="00011CE8" w:rsidRDefault="004D7503" w:rsidP="004D7503">
            <w:pPr>
              <w:shd w:val="clear" w:color="auto" w:fill="FFFFFF"/>
              <w:suppressAutoHyphens/>
              <w:snapToGrid w:val="0"/>
              <w:spacing w:after="0" w:line="100" w:lineRule="atLeast"/>
              <w:ind w:left="225" w:right="345"/>
              <w:jc w:val="both"/>
              <w:rPr>
                <w:rFonts w:ascii="Times New Roman" w:eastAsia="Times New Roman" w:hAnsi="Times New Roman"/>
                <w:color w:val="000000"/>
                <w:lang w:eastAsia="ar-SA"/>
              </w:rPr>
            </w:pPr>
            <w:r w:rsidRPr="00011CE8">
              <w:rPr>
                <w:rFonts w:ascii="Times New Roman" w:eastAsia="Times New Roman" w:hAnsi="Times New Roman"/>
                <w:color w:val="000000"/>
                <w:lang w:eastAsia="ar-SA"/>
              </w:rPr>
              <w:t xml:space="preserve">Osnovna škola Lovinac je </w:t>
            </w:r>
            <w:proofErr w:type="spellStart"/>
            <w:r w:rsidRPr="00011CE8">
              <w:rPr>
                <w:rFonts w:ascii="Times New Roman" w:eastAsia="Times New Roman" w:hAnsi="Times New Roman"/>
                <w:color w:val="000000"/>
                <w:lang w:eastAsia="ar-SA"/>
              </w:rPr>
              <w:t>osmorazredna</w:t>
            </w:r>
            <w:proofErr w:type="spellEnd"/>
            <w:r w:rsidRPr="00011CE8">
              <w:rPr>
                <w:rFonts w:ascii="Times New Roman" w:eastAsia="Times New Roman" w:hAnsi="Times New Roman"/>
                <w:color w:val="000000"/>
                <w:lang w:eastAsia="ar-SA"/>
              </w:rPr>
              <w:t xml:space="preserve"> matična škola. Djelatnost škole jest odgoj i opće obrazovanje djece i mladeži, koje se ostvaruje na temelju Nacionalnog kurikuluma, Nastavnog plana i programa, Godišnjeg plana i programa rada škole i Školskog kurikuluma za školsku godinu 201</w:t>
            </w:r>
            <w:r>
              <w:rPr>
                <w:rFonts w:ascii="Times New Roman" w:eastAsia="Times New Roman" w:hAnsi="Times New Roman"/>
                <w:color w:val="000000"/>
                <w:lang w:eastAsia="ar-SA"/>
              </w:rPr>
              <w:t>8</w:t>
            </w:r>
            <w:r w:rsidRPr="00011CE8">
              <w:rPr>
                <w:rFonts w:ascii="Times New Roman" w:eastAsia="Times New Roman" w:hAnsi="Times New Roman"/>
                <w:color w:val="000000"/>
                <w:lang w:eastAsia="ar-SA"/>
              </w:rPr>
              <w:t>./201</w:t>
            </w:r>
            <w:r>
              <w:rPr>
                <w:rFonts w:ascii="Times New Roman" w:eastAsia="Times New Roman" w:hAnsi="Times New Roman"/>
                <w:color w:val="000000"/>
                <w:lang w:eastAsia="ar-SA"/>
              </w:rPr>
              <w:t>9</w:t>
            </w:r>
            <w:r w:rsidRPr="00011CE8">
              <w:rPr>
                <w:rFonts w:ascii="Times New Roman" w:eastAsia="Times New Roman" w:hAnsi="Times New Roman"/>
                <w:color w:val="000000"/>
                <w:lang w:eastAsia="ar-SA"/>
              </w:rPr>
              <w:t xml:space="preserve">. godinu. </w:t>
            </w:r>
          </w:p>
          <w:p w:rsidR="00111527" w:rsidRPr="00111527" w:rsidRDefault="004D7503" w:rsidP="004D7503">
            <w:pPr>
              <w:suppressAutoHyphens/>
              <w:snapToGrid w:val="0"/>
              <w:spacing w:after="0" w:line="100" w:lineRule="atLeast"/>
              <w:ind w:left="225" w:right="225"/>
              <w:jc w:val="both"/>
              <w:rPr>
                <w:rFonts w:ascii="Times New Roman" w:hAnsi="Times New Roman"/>
                <w:sz w:val="24"/>
                <w:szCs w:val="24"/>
                <w:lang w:eastAsia="ar-SA"/>
              </w:rPr>
            </w:pPr>
            <w:r w:rsidRPr="00011CE8">
              <w:rPr>
                <w:rFonts w:ascii="Times New Roman" w:eastAsia="Times New Roman" w:hAnsi="Times New Roman"/>
                <w:color w:val="000000"/>
                <w:lang w:eastAsia="ar-SA"/>
              </w:rPr>
              <w:t>Nastava,  redovna, izborna, dodatna i dopunska organizirana je u jutarnjoj  smjeni u petodnevnom radnom tjednu sa slobodnim subotama. Školu polazi 4</w:t>
            </w:r>
            <w:r w:rsidR="00207713">
              <w:rPr>
                <w:rFonts w:ascii="Times New Roman" w:eastAsia="Times New Roman" w:hAnsi="Times New Roman"/>
                <w:color w:val="000000"/>
                <w:lang w:eastAsia="ar-SA"/>
              </w:rPr>
              <w:t>3</w:t>
            </w:r>
            <w:r w:rsidRPr="00011CE8">
              <w:rPr>
                <w:rFonts w:ascii="Times New Roman" w:eastAsia="Times New Roman" w:hAnsi="Times New Roman"/>
                <w:color w:val="000000"/>
                <w:lang w:eastAsia="ar-SA"/>
              </w:rPr>
              <w:t xml:space="preserve"> učenika u 6 razrednih odjela, od kojih su 4 čista odjeljenja i 2 kombinirana.</w:t>
            </w:r>
          </w:p>
        </w:tc>
      </w:tr>
      <w:tr w:rsidR="00111527" w:rsidRPr="00327A34" w:rsidTr="00C72D02">
        <w:trPr>
          <w:trHeight w:val="54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rsidR="00111527" w:rsidRPr="00111527" w:rsidRDefault="00A66FC3" w:rsidP="00111527">
            <w:pPr>
              <w:suppressAutoHyphens/>
              <w:snapToGrid w:val="0"/>
              <w:spacing w:after="0" w:line="240" w:lineRule="auto"/>
              <w:rPr>
                <w:rFonts w:ascii="Times New Roman" w:hAnsi="Times New Roman"/>
                <w:lang w:eastAsia="ar-SA"/>
              </w:rPr>
            </w:pPr>
            <w:r w:rsidRPr="00BD4B39">
              <w:rPr>
                <w:rFonts w:ascii="Times New Roman" w:hAnsi="Times New Roman"/>
                <w:lang w:eastAsia="ar-SA"/>
              </w:rPr>
              <w:t xml:space="preserve">  </w:t>
            </w:r>
            <w:r w:rsidR="00111527" w:rsidRPr="00BD4B39">
              <w:rPr>
                <w:rFonts w:ascii="Times New Roman" w:hAnsi="Times New Roman"/>
                <w:lang w:eastAsia="ar-SA"/>
              </w:rPr>
              <w:t>O</w:t>
            </w:r>
            <w:r w:rsidR="00111527" w:rsidRPr="00111527">
              <w:rPr>
                <w:rFonts w:ascii="Times New Roman" w:hAnsi="Times New Roman"/>
                <w:lang w:eastAsia="ar-SA"/>
              </w:rPr>
              <w:t>RGANIZACIJSKA</w:t>
            </w:r>
          </w:p>
          <w:p w:rsidR="00111527" w:rsidRPr="00111527" w:rsidRDefault="00A66FC3" w:rsidP="00111527">
            <w:pPr>
              <w:suppressAutoHyphens/>
              <w:snapToGrid w:val="0"/>
              <w:spacing w:after="0" w:line="240" w:lineRule="auto"/>
              <w:ind w:left="-851" w:firstLine="851"/>
              <w:rPr>
                <w:rFonts w:ascii="Times New Roman" w:hAnsi="Times New Roman"/>
                <w:lang w:eastAsia="ar-SA"/>
              </w:rPr>
            </w:pPr>
            <w:r w:rsidRPr="00BD4B39">
              <w:rPr>
                <w:rFonts w:ascii="Times New Roman" w:hAnsi="Times New Roman"/>
                <w:lang w:eastAsia="ar-SA"/>
              </w:rPr>
              <w:t xml:space="preserve">  </w:t>
            </w:r>
            <w:r w:rsidR="00111527" w:rsidRPr="00111527">
              <w:rPr>
                <w:rFonts w:ascii="Times New Roman" w:hAnsi="Times New Roman"/>
                <w:lang w:eastAsia="ar-SA"/>
              </w:rPr>
              <w:t>STRUKTURA</w:t>
            </w:r>
            <w:r w:rsidR="00AE4F28">
              <w:rPr>
                <w:rFonts w:ascii="Times New Roman" w:hAnsi="Times New Roman"/>
                <w:lang w:eastAsia="ar-SA"/>
              </w:rPr>
              <w:t>:</w:t>
            </w:r>
          </w:p>
        </w:tc>
        <w:tc>
          <w:tcPr>
            <w:tcW w:w="7229" w:type="dxa"/>
            <w:gridSpan w:val="6"/>
            <w:tcBorders>
              <w:top w:val="single" w:sz="6" w:space="0" w:color="auto"/>
              <w:left w:val="single" w:sz="6" w:space="0" w:color="auto"/>
              <w:bottom w:val="single" w:sz="6" w:space="0" w:color="auto"/>
              <w:right w:val="single" w:sz="6" w:space="0" w:color="auto"/>
            </w:tcBorders>
            <w:shd w:val="clear" w:color="auto" w:fill="auto"/>
          </w:tcPr>
          <w:p w:rsidR="00111527" w:rsidRPr="00111527" w:rsidRDefault="004D7503" w:rsidP="00111527">
            <w:pPr>
              <w:suppressAutoHyphens/>
              <w:snapToGrid w:val="0"/>
              <w:spacing w:after="0" w:line="240" w:lineRule="auto"/>
              <w:ind w:left="165" w:right="195"/>
              <w:jc w:val="both"/>
              <w:rPr>
                <w:rFonts w:ascii="Times New Roman" w:hAnsi="Times New Roman"/>
                <w:sz w:val="24"/>
                <w:szCs w:val="24"/>
                <w:lang w:eastAsia="ar-SA"/>
              </w:rPr>
            </w:pPr>
            <w:r>
              <w:rPr>
                <w:rFonts w:ascii="Times New Roman" w:eastAsia="Times New Roman" w:hAnsi="Times New Roman"/>
                <w:color w:val="000000"/>
                <w:lang w:eastAsia="ar-SA"/>
              </w:rPr>
              <w:t>Matična škola</w:t>
            </w:r>
          </w:p>
        </w:tc>
      </w:tr>
      <w:tr w:rsidR="00111527" w:rsidRPr="00327A34" w:rsidTr="00BC70A2">
        <w:trPr>
          <w:trHeight w:val="723"/>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rsidR="00AE4F28" w:rsidRDefault="00AD58FD" w:rsidP="00AE4F28">
            <w:pPr>
              <w:suppressAutoHyphens/>
              <w:snapToGrid w:val="0"/>
              <w:spacing w:after="0" w:line="240" w:lineRule="auto"/>
              <w:rPr>
                <w:rFonts w:ascii="Book Antiqua" w:hAnsi="Book Antiqua"/>
                <w:sz w:val="20"/>
                <w:szCs w:val="20"/>
                <w:lang w:eastAsia="ar-SA"/>
              </w:rPr>
            </w:pPr>
            <w:r>
              <w:rPr>
                <w:rFonts w:ascii="Times New Roman" w:hAnsi="Times New Roman"/>
                <w:lang w:eastAsia="ar-SA"/>
              </w:rPr>
              <w:t xml:space="preserve">  </w:t>
            </w:r>
            <w:r w:rsidR="00AE4F28">
              <w:rPr>
                <w:rFonts w:ascii="Book Antiqua" w:hAnsi="Book Antiqua"/>
                <w:sz w:val="20"/>
                <w:szCs w:val="20"/>
                <w:lang w:eastAsia="ar-SA"/>
              </w:rPr>
              <w:t>FINANCIJSKI PLAN ZA 201</w:t>
            </w:r>
            <w:r w:rsidR="00546D7A">
              <w:rPr>
                <w:rFonts w:ascii="Book Antiqua" w:hAnsi="Book Antiqua"/>
                <w:sz w:val="20"/>
                <w:szCs w:val="20"/>
                <w:lang w:eastAsia="ar-SA"/>
              </w:rPr>
              <w:t>9</w:t>
            </w:r>
            <w:r w:rsidR="00AE4F28">
              <w:rPr>
                <w:rFonts w:ascii="Book Antiqua" w:hAnsi="Book Antiqua"/>
                <w:sz w:val="20"/>
                <w:szCs w:val="20"/>
                <w:lang w:eastAsia="ar-SA"/>
              </w:rPr>
              <w:t>. –</w:t>
            </w:r>
          </w:p>
          <w:p w:rsidR="00AE4F28" w:rsidRPr="00111527" w:rsidRDefault="00AE4F28" w:rsidP="00546D7A">
            <w:pPr>
              <w:suppressAutoHyphens/>
              <w:snapToGrid w:val="0"/>
              <w:spacing w:after="0" w:line="240" w:lineRule="auto"/>
              <w:rPr>
                <w:rFonts w:ascii="Times New Roman" w:hAnsi="Times New Roman"/>
                <w:lang w:eastAsia="ar-SA"/>
              </w:rPr>
            </w:pPr>
            <w:r>
              <w:rPr>
                <w:rFonts w:ascii="Book Antiqua" w:hAnsi="Book Antiqua"/>
                <w:sz w:val="20"/>
                <w:szCs w:val="20"/>
                <w:lang w:eastAsia="ar-SA"/>
              </w:rPr>
              <w:t xml:space="preserve">  202</w:t>
            </w:r>
            <w:r w:rsidR="00546D7A">
              <w:rPr>
                <w:rFonts w:ascii="Book Antiqua" w:hAnsi="Book Antiqua"/>
                <w:sz w:val="20"/>
                <w:szCs w:val="20"/>
                <w:lang w:eastAsia="ar-SA"/>
              </w:rPr>
              <w:t>1</w:t>
            </w:r>
            <w:r>
              <w:rPr>
                <w:rFonts w:ascii="Book Antiqua" w:hAnsi="Book Antiqua"/>
                <w:sz w:val="20"/>
                <w:szCs w:val="20"/>
                <w:lang w:eastAsia="ar-SA"/>
              </w:rPr>
              <w:t>. GODINU:</w:t>
            </w:r>
          </w:p>
        </w:tc>
        <w:tc>
          <w:tcPr>
            <w:tcW w:w="7229" w:type="dxa"/>
            <w:gridSpan w:val="6"/>
            <w:tcBorders>
              <w:top w:val="single" w:sz="6" w:space="0" w:color="auto"/>
              <w:left w:val="single" w:sz="6" w:space="0" w:color="auto"/>
              <w:bottom w:val="single" w:sz="20" w:space="0" w:color="000000"/>
              <w:right w:val="single" w:sz="6" w:space="0" w:color="auto"/>
            </w:tcBorders>
            <w:shd w:val="clear" w:color="auto" w:fill="auto"/>
          </w:tcPr>
          <w:p w:rsidR="004D7503" w:rsidRDefault="00DD647B" w:rsidP="004D7503">
            <w:pPr>
              <w:shd w:val="clear" w:color="auto" w:fill="FFFFFF"/>
              <w:suppressAutoHyphens/>
              <w:snapToGrid w:val="0"/>
              <w:spacing w:after="0" w:line="100" w:lineRule="atLeast"/>
              <w:ind w:right="345"/>
              <w:jc w:val="both"/>
              <w:rPr>
                <w:rFonts w:ascii="Times New Roman" w:eastAsia="Times New Roman" w:hAnsi="Times New Roman"/>
                <w:color w:val="000000"/>
                <w:lang w:eastAsia="ar-SA"/>
              </w:rPr>
            </w:pPr>
            <w:r>
              <w:rPr>
                <w:rFonts w:ascii="Times New Roman" w:hAnsi="Times New Roman"/>
                <w:sz w:val="24"/>
                <w:szCs w:val="24"/>
                <w:lang w:eastAsia="ar-SA"/>
              </w:rPr>
              <w:t xml:space="preserve">   F</w:t>
            </w:r>
            <w:r>
              <w:rPr>
                <w:rFonts w:ascii="Times New Roman" w:eastAsia="Times New Roman" w:hAnsi="Times New Roman"/>
                <w:color w:val="000000"/>
                <w:lang w:eastAsia="ar-SA"/>
              </w:rPr>
              <w:t xml:space="preserve">inancijski plan </w:t>
            </w:r>
            <w:bookmarkStart w:id="0" w:name="_GoBack"/>
            <w:bookmarkEnd w:id="0"/>
            <w:r w:rsidR="004D7503">
              <w:rPr>
                <w:rFonts w:ascii="Times New Roman" w:eastAsia="Times New Roman" w:hAnsi="Times New Roman"/>
                <w:color w:val="000000"/>
                <w:lang w:eastAsia="ar-SA"/>
              </w:rPr>
              <w:t>za 2019. i projekcije 2020. i 2021. izrađen</w:t>
            </w:r>
          </w:p>
          <w:p w:rsidR="004D7503" w:rsidRDefault="004D7503" w:rsidP="004D7503">
            <w:pPr>
              <w:shd w:val="clear" w:color="auto" w:fill="FFFFFF"/>
              <w:suppressAutoHyphens/>
              <w:snapToGrid w:val="0"/>
              <w:spacing w:after="0" w:line="100" w:lineRule="atLeast"/>
              <w:ind w:right="345"/>
              <w:jc w:val="both"/>
              <w:rPr>
                <w:rFonts w:ascii="Times New Roman" w:eastAsia="Times New Roman" w:hAnsi="Times New Roman"/>
                <w:color w:val="000000"/>
                <w:lang w:eastAsia="ar-SA"/>
              </w:rPr>
            </w:pPr>
            <w:r>
              <w:rPr>
                <w:rFonts w:ascii="Times New Roman" w:eastAsia="Times New Roman" w:hAnsi="Times New Roman"/>
                <w:color w:val="000000"/>
                <w:lang w:eastAsia="ar-SA"/>
              </w:rPr>
              <w:t xml:space="preserve">   2.10.2018. –ovo Obrazloženje sastavni je dio gore navedenoga prijedloga </w:t>
            </w:r>
          </w:p>
          <w:p w:rsidR="00111527" w:rsidRDefault="004D7503" w:rsidP="004D7503">
            <w:pPr>
              <w:shd w:val="clear" w:color="auto" w:fill="FFFFFF"/>
              <w:suppressAutoHyphens/>
              <w:snapToGrid w:val="0"/>
              <w:spacing w:after="0" w:line="100" w:lineRule="atLeast"/>
              <w:ind w:right="345"/>
              <w:jc w:val="both"/>
              <w:rPr>
                <w:rFonts w:ascii="Times New Roman" w:eastAsia="Times New Roman" w:hAnsi="Times New Roman"/>
                <w:color w:val="000000"/>
                <w:lang w:eastAsia="ar-SA"/>
              </w:rPr>
            </w:pPr>
            <w:r>
              <w:rPr>
                <w:rFonts w:ascii="Times New Roman" w:eastAsia="Times New Roman" w:hAnsi="Times New Roman"/>
                <w:color w:val="000000"/>
                <w:lang w:eastAsia="ar-SA"/>
              </w:rPr>
              <w:t xml:space="preserve">   financijskog plana. </w:t>
            </w:r>
          </w:p>
          <w:p w:rsidR="004D7503" w:rsidRPr="00111527" w:rsidRDefault="004D7503" w:rsidP="004D7503">
            <w:pPr>
              <w:shd w:val="clear" w:color="auto" w:fill="FFFFFF"/>
              <w:suppressAutoHyphens/>
              <w:snapToGrid w:val="0"/>
              <w:spacing w:after="0" w:line="100" w:lineRule="atLeast"/>
              <w:ind w:right="345"/>
              <w:jc w:val="both"/>
              <w:rPr>
                <w:rFonts w:ascii="Times New Roman" w:hAnsi="Times New Roman"/>
                <w:sz w:val="20"/>
                <w:szCs w:val="20"/>
                <w:lang w:eastAsia="ar-SA"/>
              </w:rPr>
            </w:pPr>
          </w:p>
        </w:tc>
      </w:tr>
      <w:tr w:rsidR="00111527" w:rsidRPr="00C72D02" w:rsidTr="00D22F59">
        <w:trPr>
          <w:trHeight w:val="131"/>
        </w:trPr>
        <w:tc>
          <w:tcPr>
            <w:tcW w:w="9563" w:type="dxa"/>
            <w:gridSpan w:val="2"/>
            <w:tcBorders>
              <w:top w:val="single" w:sz="8" w:space="0" w:color="000000"/>
              <w:bottom w:val="single" w:sz="18" w:space="0" w:color="auto"/>
            </w:tcBorders>
            <w:shd w:val="clear" w:color="auto" w:fill="auto"/>
          </w:tcPr>
          <w:p w:rsidR="004C701B" w:rsidRPr="00C72D02" w:rsidRDefault="004C701B" w:rsidP="00111527">
            <w:pPr>
              <w:suppressAutoHyphens/>
              <w:snapToGrid w:val="0"/>
              <w:spacing w:after="0" w:line="240" w:lineRule="auto"/>
              <w:rPr>
                <w:rFonts w:ascii="Times New Roman" w:hAnsi="Times New Roman"/>
                <w:sz w:val="6"/>
                <w:szCs w:val="6"/>
                <w:lang w:eastAsia="ar-SA"/>
              </w:rPr>
            </w:pPr>
          </w:p>
          <w:p w:rsidR="008A65D2" w:rsidRPr="00C72D02" w:rsidRDefault="008A65D2" w:rsidP="00111527">
            <w:pPr>
              <w:suppressAutoHyphens/>
              <w:snapToGrid w:val="0"/>
              <w:spacing w:after="0" w:line="240" w:lineRule="auto"/>
              <w:rPr>
                <w:rFonts w:ascii="Times New Roman" w:hAnsi="Times New Roman"/>
                <w:sz w:val="6"/>
                <w:szCs w:val="6"/>
                <w:lang w:eastAsia="ar-SA"/>
              </w:rPr>
            </w:pPr>
          </w:p>
        </w:tc>
        <w:tc>
          <w:tcPr>
            <w:tcW w:w="74" w:type="dxa"/>
            <w:shd w:val="clear" w:color="auto" w:fill="auto"/>
          </w:tcPr>
          <w:p w:rsidR="00111527" w:rsidRPr="00C72D02" w:rsidRDefault="00111527" w:rsidP="00111527">
            <w:pPr>
              <w:suppressAutoHyphens/>
              <w:snapToGrid w:val="0"/>
              <w:spacing w:after="0"/>
              <w:rPr>
                <w:rFonts w:ascii="Times New Roman" w:hAnsi="Times New Roman"/>
                <w:b/>
                <w:sz w:val="6"/>
                <w:szCs w:val="6"/>
                <w:lang w:eastAsia="ar-SA"/>
              </w:rPr>
            </w:pPr>
          </w:p>
        </w:tc>
        <w:tc>
          <w:tcPr>
            <w:tcW w:w="325" w:type="dxa"/>
            <w:shd w:val="clear" w:color="auto" w:fill="auto"/>
          </w:tcPr>
          <w:p w:rsidR="00111527" w:rsidRPr="00C72D02" w:rsidRDefault="00111527" w:rsidP="00111527">
            <w:pPr>
              <w:suppressAutoHyphens/>
              <w:snapToGrid w:val="0"/>
              <w:spacing w:after="0"/>
              <w:rPr>
                <w:rFonts w:ascii="Times New Roman" w:hAnsi="Times New Roman"/>
                <w:b/>
                <w:sz w:val="6"/>
                <w:szCs w:val="6"/>
                <w:lang w:eastAsia="ar-SA"/>
              </w:rPr>
            </w:pPr>
          </w:p>
        </w:tc>
        <w:tc>
          <w:tcPr>
            <w:tcW w:w="89" w:type="dxa"/>
            <w:shd w:val="clear" w:color="auto" w:fill="auto"/>
          </w:tcPr>
          <w:p w:rsidR="00111527" w:rsidRPr="00C72D02" w:rsidRDefault="00111527" w:rsidP="00111527">
            <w:pPr>
              <w:suppressAutoHyphens/>
              <w:snapToGrid w:val="0"/>
              <w:spacing w:after="0"/>
              <w:rPr>
                <w:rFonts w:ascii="Times New Roman" w:hAnsi="Times New Roman"/>
                <w:b/>
                <w:sz w:val="6"/>
                <w:szCs w:val="6"/>
                <w:lang w:eastAsia="ar-SA"/>
              </w:rPr>
            </w:pPr>
          </w:p>
        </w:tc>
        <w:tc>
          <w:tcPr>
            <w:tcW w:w="182" w:type="dxa"/>
            <w:gridSpan w:val="2"/>
            <w:shd w:val="clear" w:color="auto" w:fill="auto"/>
          </w:tcPr>
          <w:p w:rsidR="00111527" w:rsidRPr="00C72D02" w:rsidRDefault="00111527" w:rsidP="00111527">
            <w:pPr>
              <w:suppressAutoHyphens/>
              <w:snapToGrid w:val="0"/>
              <w:spacing w:after="0"/>
              <w:rPr>
                <w:rFonts w:ascii="Times New Roman" w:hAnsi="Times New Roman"/>
                <w:b/>
                <w:sz w:val="6"/>
                <w:szCs w:val="6"/>
                <w:lang w:eastAsia="ar-SA"/>
              </w:rPr>
            </w:pPr>
          </w:p>
        </w:tc>
      </w:tr>
      <w:tr w:rsidR="004C701B" w:rsidRPr="00327A34" w:rsidTr="00D96257">
        <w:trPr>
          <w:gridAfter w:val="1"/>
          <w:wAfter w:w="8"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rsidR="00111527" w:rsidRPr="00111527" w:rsidRDefault="00111527" w:rsidP="00514856">
            <w:pPr>
              <w:suppressAutoHyphens/>
              <w:snapToGrid w:val="0"/>
              <w:spacing w:after="0" w:line="240" w:lineRule="auto"/>
              <w:ind w:left="113"/>
              <w:rPr>
                <w:rFonts w:ascii="Times New Roman" w:hAnsi="Times New Roman"/>
                <w:b/>
                <w:lang w:eastAsia="ar-SA"/>
              </w:rPr>
            </w:pPr>
            <w:r w:rsidRPr="00111527">
              <w:rPr>
                <w:rFonts w:ascii="Times New Roman" w:hAnsi="Times New Roman"/>
                <w:b/>
                <w:lang w:eastAsia="ar-SA"/>
              </w:rPr>
              <w:t>NAZIV PROGRAMA</w:t>
            </w:r>
          </w:p>
        </w:tc>
        <w:tc>
          <w:tcPr>
            <w:tcW w:w="7221" w:type="dxa"/>
            <w:gridSpan w:val="5"/>
            <w:tcBorders>
              <w:top w:val="single" w:sz="18" w:space="0" w:color="auto"/>
              <w:left w:val="single" w:sz="18" w:space="0" w:color="auto"/>
              <w:bottom w:val="single" w:sz="4" w:space="0" w:color="auto"/>
              <w:right w:val="single" w:sz="18" w:space="0" w:color="auto"/>
            </w:tcBorders>
            <w:shd w:val="clear" w:color="auto" w:fill="auto"/>
            <w:vAlign w:val="center"/>
          </w:tcPr>
          <w:p w:rsidR="00111527" w:rsidRPr="00111527" w:rsidRDefault="004D7503" w:rsidP="00111527">
            <w:pPr>
              <w:suppressAutoHyphens/>
              <w:autoSpaceDE w:val="0"/>
              <w:snapToGrid w:val="0"/>
              <w:spacing w:after="0" w:line="360" w:lineRule="auto"/>
              <w:jc w:val="both"/>
              <w:rPr>
                <w:rFonts w:ascii="Times New Roman" w:hAnsi="Times New Roman"/>
                <w:b/>
                <w:bCs/>
                <w:sz w:val="24"/>
                <w:szCs w:val="24"/>
                <w:lang w:eastAsia="ar-SA"/>
              </w:rPr>
            </w:pPr>
            <w:r>
              <w:rPr>
                <w:rFonts w:ascii="Times New Roman" w:hAnsi="Times New Roman"/>
                <w:b/>
                <w:bCs/>
                <w:sz w:val="24"/>
                <w:szCs w:val="24"/>
                <w:lang w:eastAsia="ar-SA"/>
              </w:rPr>
              <w:t xml:space="preserve">  Osnovno obrazovanje</w:t>
            </w:r>
          </w:p>
        </w:tc>
      </w:tr>
      <w:tr w:rsidR="005E0C6D" w:rsidRPr="00327A34" w:rsidTr="00D96257">
        <w:trPr>
          <w:gridAfter w:val="1"/>
          <w:wAfter w:w="8"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rsidR="005E0C6D" w:rsidRPr="00111527" w:rsidRDefault="005E0C6D" w:rsidP="00514856">
            <w:pPr>
              <w:suppressAutoHyphens/>
              <w:snapToGrid w:val="0"/>
              <w:spacing w:after="0" w:line="240" w:lineRule="auto"/>
              <w:ind w:left="113"/>
              <w:rPr>
                <w:rFonts w:ascii="Times New Roman" w:hAnsi="Times New Roman"/>
                <w:b/>
                <w:lang w:eastAsia="ar-SA"/>
              </w:rPr>
            </w:pPr>
            <w:r>
              <w:rPr>
                <w:rFonts w:ascii="Times New Roman" w:hAnsi="Times New Roman"/>
                <w:b/>
                <w:lang w:eastAsia="ar-SA"/>
              </w:rPr>
              <w:t>Aktivnosti:</w:t>
            </w:r>
          </w:p>
        </w:tc>
        <w:tc>
          <w:tcPr>
            <w:tcW w:w="7221" w:type="dxa"/>
            <w:gridSpan w:val="5"/>
            <w:tcBorders>
              <w:top w:val="single" w:sz="18" w:space="0" w:color="auto"/>
              <w:left w:val="single" w:sz="18" w:space="0" w:color="auto"/>
              <w:bottom w:val="single" w:sz="4" w:space="0" w:color="auto"/>
              <w:right w:val="single" w:sz="18" w:space="0" w:color="auto"/>
            </w:tcBorders>
            <w:shd w:val="clear" w:color="auto" w:fill="auto"/>
            <w:vAlign w:val="center"/>
          </w:tcPr>
          <w:p w:rsidR="005E0C6D" w:rsidRPr="00111527" w:rsidRDefault="004D7503" w:rsidP="00111527">
            <w:pPr>
              <w:suppressAutoHyphens/>
              <w:autoSpaceDE w:val="0"/>
              <w:snapToGrid w:val="0"/>
              <w:spacing w:after="0" w:line="360" w:lineRule="auto"/>
              <w:jc w:val="both"/>
              <w:rPr>
                <w:rFonts w:ascii="Times New Roman" w:hAnsi="Times New Roman"/>
                <w:b/>
                <w:bCs/>
                <w:sz w:val="24"/>
                <w:szCs w:val="24"/>
                <w:lang w:eastAsia="ar-SA"/>
              </w:rPr>
            </w:pPr>
            <w:r>
              <w:rPr>
                <w:rFonts w:ascii="Times New Roman" w:hAnsi="Times New Roman"/>
                <w:b/>
                <w:bCs/>
                <w:sz w:val="24"/>
                <w:szCs w:val="24"/>
                <w:lang w:eastAsia="ar-SA"/>
              </w:rPr>
              <w:t xml:space="preserve">  Redovna djelatnost, Prehrana učenika, projekt „Školski Zalogajčić“</w:t>
            </w:r>
          </w:p>
        </w:tc>
      </w:tr>
      <w:tr w:rsidR="004C701B" w:rsidRPr="00327A34" w:rsidTr="00C72D02">
        <w:trPr>
          <w:trHeight w:val="500"/>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rsidR="004C701B" w:rsidRPr="00111527" w:rsidRDefault="00AE4F28" w:rsidP="00E238CF">
            <w:pPr>
              <w:suppressAutoHyphens/>
              <w:snapToGrid w:val="0"/>
              <w:spacing w:after="0" w:line="240" w:lineRule="auto"/>
              <w:ind w:left="170"/>
              <w:rPr>
                <w:rFonts w:ascii="Times New Roman" w:hAnsi="Times New Roman"/>
                <w:bCs/>
                <w:lang w:eastAsia="ar-SA"/>
              </w:rPr>
            </w:pPr>
            <w:r>
              <w:rPr>
                <w:rFonts w:ascii="Times New Roman" w:hAnsi="Times New Roman"/>
                <w:bCs/>
                <w:lang w:eastAsia="ar-SA"/>
              </w:rPr>
              <w:t xml:space="preserve">OPIS PROGRAMA </w:t>
            </w:r>
          </w:p>
        </w:tc>
        <w:tc>
          <w:tcPr>
            <w:tcW w:w="7229"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4C701B" w:rsidRPr="00111527" w:rsidRDefault="004D7503" w:rsidP="00111527">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r>
              <w:rPr>
                <w:rFonts w:ascii="Times New Roman" w:eastAsia="Times New Roman" w:hAnsi="Times New Roman"/>
                <w:color w:val="000000"/>
                <w:lang w:eastAsia="ar-SA"/>
              </w:rPr>
              <w:t>Redovna djelatnost, prehrana učenika (</w:t>
            </w:r>
            <w:proofErr w:type="spellStart"/>
            <w:r>
              <w:rPr>
                <w:rFonts w:ascii="Times New Roman" w:eastAsia="Times New Roman" w:hAnsi="Times New Roman"/>
                <w:color w:val="000000"/>
                <w:lang w:eastAsia="ar-SA"/>
              </w:rPr>
              <w:t>lunch</w:t>
            </w:r>
            <w:proofErr w:type="spellEnd"/>
            <w:r>
              <w:rPr>
                <w:rFonts w:ascii="Times New Roman" w:eastAsia="Times New Roman" w:hAnsi="Times New Roman"/>
                <w:color w:val="000000"/>
                <w:lang w:eastAsia="ar-SA"/>
              </w:rPr>
              <w:t xml:space="preserve"> paketi)</w:t>
            </w:r>
          </w:p>
        </w:tc>
      </w:tr>
      <w:tr w:rsidR="004C701B" w:rsidRPr="00327A34" w:rsidTr="00C72D02">
        <w:trPr>
          <w:trHeight w:val="695"/>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rsidR="004C701B" w:rsidRDefault="004C701B" w:rsidP="00AE4F28">
            <w:pPr>
              <w:suppressAutoHyphens/>
              <w:snapToGrid w:val="0"/>
              <w:spacing w:after="0" w:line="240" w:lineRule="auto"/>
              <w:ind w:left="170"/>
              <w:rPr>
                <w:rFonts w:ascii="Times New Roman" w:hAnsi="Times New Roman"/>
                <w:bCs/>
                <w:lang w:eastAsia="ar-SA"/>
              </w:rPr>
            </w:pPr>
            <w:r w:rsidRPr="00111527">
              <w:rPr>
                <w:rFonts w:ascii="Times New Roman" w:hAnsi="Times New Roman"/>
                <w:bCs/>
                <w:lang w:eastAsia="ar-SA"/>
              </w:rPr>
              <w:t xml:space="preserve">ZAKONSKA </w:t>
            </w:r>
            <w:r w:rsidR="00AE4F28">
              <w:rPr>
                <w:rFonts w:ascii="Times New Roman" w:hAnsi="Times New Roman"/>
                <w:bCs/>
                <w:lang w:eastAsia="ar-SA"/>
              </w:rPr>
              <w:t xml:space="preserve">I DRUGA PRAVNA </w:t>
            </w:r>
            <w:r w:rsidRPr="00111527">
              <w:rPr>
                <w:rFonts w:ascii="Times New Roman" w:hAnsi="Times New Roman"/>
                <w:bCs/>
                <w:lang w:eastAsia="ar-SA"/>
              </w:rPr>
              <w:t xml:space="preserve">OSNOVA ZA </w:t>
            </w:r>
            <w:r w:rsidR="00AE4F28">
              <w:rPr>
                <w:rFonts w:ascii="Times New Roman" w:hAnsi="Times New Roman"/>
                <w:bCs/>
                <w:lang w:eastAsia="ar-SA"/>
              </w:rPr>
              <w:t>U</w:t>
            </w:r>
            <w:r w:rsidRPr="00111527">
              <w:rPr>
                <w:rFonts w:ascii="Times New Roman" w:hAnsi="Times New Roman"/>
                <w:bCs/>
                <w:lang w:eastAsia="ar-SA"/>
              </w:rPr>
              <w:t>VOĐENJE PROGRAMA</w:t>
            </w:r>
          </w:p>
          <w:p w:rsidR="00546D7A" w:rsidRPr="00111527" w:rsidRDefault="00546D7A" w:rsidP="00AE4F28">
            <w:pPr>
              <w:suppressAutoHyphens/>
              <w:snapToGrid w:val="0"/>
              <w:spacing w:after="0" w:line="240" w:lineRule="auto"/>
              <w:ind w:left="170"/>
              <w:rPr>
                <w:rFonts w:ascii="Times New Roman" w:hAnsi="Times New Roman"/>
                <w:bCs/>
                <w:lang w:eastAsia="ar-SA"/>
              </w:rPr>
            </w:pPr>
          </w:p>
        </w:tc>
        <w:tc>
          <w:tcPr>
            <w:tcW w:w="722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D7503" w:rsidRDefault="004D7503" w:rsidP="004D7503">
            <w:pPr>
              <w:suppressAutoHyphens/>
              <w:autoSpaceDE w:val="0"/>
              <w:snapToGrid w:val="0"/>
              <w:spacing w:after="0" w:line="100" w:lineRule="atLeast"/>
              <w:ind w:left="284"/>
              <w:jc w:val="both"/>
              <w:rPr>
                <w:rFonts w:ascii="Times New Roman" w:hAnsi="Times New Roman"/>
                <w:bCs/>
                <w:lang w:eastAsia="ar-SA"/>
              </w:rPr>
            </w:pPr>
            <w:r>
              <w:rPr>
                <w:rFonts w:ascii="Times New Roman" w:hAnsi="Times New Roman"/>
                <w:bCs/>
                <w:lang w:eastAsia="ar-SA"/>
              </w:rPr>
              <w:t>Zakon o odgoju i obrazovanju, (NN br. 87/08, 86/09, 92/10, 90/11, 5/12 i 16/12, 94/13, 152/14, 07/17, 68/18)</w:t>
            </w:r>
          </w:p>
          <w:p w:rsidR="004D7503" w:rsidRDefault="004D7503" w:rsidP="004D7503">
            <w:pPr>
              <w:suppressAutoHyphens/>
              <w:autoSpaceDE w:val="0"/>
              <w:snapToGrid w:val="0"/>
              <w:spacing w:after="0" w:line="100" w:lineRule="atLeast"/>
              <w:ind w:left="284"/>
              <w:jc w:val="both"/>
              <w:rPr>
                <w:rFonts w:ascii="Times New Roman" w:hAnsi="Times New Roman"/>
                <w:bCs/>
                <w:lang w:eastAsia="ar-SA"/>
              </w:rPr>
            </w:pPr>
            <w:r>
              <w:rPr>
                <w:rFonts w:ascii="Times New Roman" w:hAnsi="Times New Roman"/>
                <w:bCs/>
                <w:lang w:eastAsia="ar-SA"/>
              </w:rPr>
              <w:t xml:space="preserve">Zakon o ustanovama, (NN br. 76/93, 29/97, 47/99 i 35/08) </w:t>
            </w:r>
          </w:p>
          <w:p w:rsidR="004D7503" w:rsidRDefault="004D7503" w:rsidP="004D7503">
            <w:pPr>
              <w:suppressAutoHyphens/>
              <w:autoSpaceDE w:val="0"/>
              <w:snapToGrid w:val="0"/>
              <w:spacing w:after="0" w:line="100" w:lineRule="atLeast"/>
              <w:ind w:left="284"/>
              <w:jc w:val="both"/>
              <w:rPr>
                <w:rFonts w:ascii="Times New Roman" w:hAnsi="Times New Roman"/>
                <w:bCs/>
                <w:lang w:eastAsia="ar-SA"/>
              </w:rPr>
            </w:pPr>
            <w:r>
              <w:rPr>
                <w:rFonts w:ascii="Times New Roman" w:hAnsi="Times New Roman"/>
                <w:bCs/>
                <w:lang w:eastAsia="ar-SA"/>
              </w:rPr>
              <w:t>Zakon o proračunu (NN, br. 87/08, 136/12 i 15/15), Pravilnik o proračunskim klasifikacijama (NN br. 26/10, 120/13) i Pravilnik o proračunskom računovodstvu i računskom planu (NN, br. 114/10 i 31/11)</w:t>
            </w:r>
          </w:p>
          <w:p w:rsidR="004D7503" w:rsidRDefault="004D7503" w:rsidP="004D7503">
            <w:pPr>
              <w:suppressAutoHyphens/>
              <w:autoSpaceDE w:val="0"/>
              <w:snapToGrid w:val="0"/>
              <w:spacing w:after="0" w:line="100" w:lineRule="atLeast"/>
              <w:ind w:left="284"/>
              <w:jc w:val="both"/>
              <w:rPr>
                <w:rFonts w:ascii="Times New Roman" w:hAnsi="Times New Roman"/>
                <w:bCs/>
                <w:lang w:eastAsia="ar-SA"/>
              </w:rPr>
            </w:pPr>
            <w:r>
              <w:rPr>
                <w:rFonts w:ascii="Times New Roman" w:hAnsi="Times New Roman"/>
                <w:bCs/>
                <w:lang w:eastAsia="ar-SA"/>
              </w:rPr>
              <w:t>Upute za izradu proračuna jedinica lokalne i područne (regionalne) samouprave za razdoblje 2019.-2021.</w:t>
            </w:r>
          </w:p>
          <w:p w:rsidR="004D7503" w:rsidRDefault="004D7503" w:rsidP="004D7503">
            <w:pPr>
              <w:suppressAutoHyphens/>
              <w:autoSpaceDE w:val="0"/>
              <w:snapToGrid w:val="0"/>
              <w:spacing w:after="0" w:line="100" w:lineRule="atLeast"/>
              <w:ind w:left="284"/>
              <w:jc w:val="both"/>
              <w:rPr>
                <w:rFonts w:ascii="Times New Roman" w:hAnsi="Times New Roman"/>
                <w:bCs/>
                <w:lang w:eastAsia="ar-SA"/>
              </w:rPr>
            </w:pPr>
            <w:r>
              <w:rPr>
                <w:rFonts w:ascii="Times New Roman" w:hAnsi="Times New Roman"/>
                <w:bCs/>
                <w:lang w:eastAsia="ar-SA"/>
              </w:rPr>
              <w:t>Godišnji plan i program rada za školsku godinu 2018./2019.</w:t>
            </w:r>
          </w:p>
          <w:p w:rsidR="004C701B" w:rsidRPr="008F1C8F" w:rsidRDefault="004D7503" w:rsidP="004D7503">
            <w:pPr>
              <w:suppressAutoHyphens/>
              <w:autoSpaceDE w:val="0"/>
              <w:snapToGrid w:val="0"/>
              <w:spacing w:after="0" w:line="100" w:lineRule="atLeast"/>
              <w:jc w:val="both"/>
              <w:rPr>
                <w:rFonts w:ascii="Times New Roman" w:hAnsi="Times New Roman"/>
                <w:bCs/>
                <w:sz w:val="24"/>
                <w:szCs w:val="24"/>
                <w:lang w:eastAsia="ar-SA"/>
              </w:rPr>
            </w:pPr>
            <w:r>
              <w:rPr>
                <w:rFonts w:ascii="Times New Roman" w:hAnsi="Times New Roman"/>
                <w:bCs/>
                <w:lang w:eastAsia="ar-SA"/>
              </w:rPr>
              <w:t xml:space="preserve">     Školski kurikulum za školsku godinu 2018./2019.</w:t>
            </w:r>
          </w:p>
        </w:tc>
      </w:tr>
      <w:tr w:rsidR="00AE4F28" w:rsidRPr="00327A34" w:rsidTr="00C72D02">
        <w:trPr>
          <w:trHeight w:val="695"/>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rsidR="00AE4F28" w:rsidRDefault="00AE4F28" w:rsidP="00AE4F28">
            <w:pPr>
              <w:suppressAutoHyphens/>
              <w:snapToGrid w:val="0"/>
              <w:spacing w:after="0" w:line="240" w:lineRule="auto"/>
              <w:ind w:left="170"/>
              <w:rPr>
                <w:rFonts w:ascii="Book Antiqua" w:hAnsi="Book Antiqua"/>
                <w:bCs/>
                <w:sz w:val="20"/>
                <w:szCs w:val="20"/>
                <w:lang w:eastAsia="ar-SA"/>
              </w:rPr>
            </w:pPr>
            <w:r>
              <w:rPr>
                <w:rFonts w:ascii="Book Antiqua" w:hAnsi="Book Antiqua"/>
                <w:bCs/>
                <w:sz w:val="20"/>
                <w:szCs w:val="20"/>
                <w:lang w:eastAsia="ar-SA"/>
              </w:rPr>
              <w:t>USKLAĐENI CILJEVI, STRATEGIJE I PROGRAMI S DOKUMENTIMA DUGOROČNOG RAZVOJA:</w:t>
            </w:r>
          </w:p>
          <w:p w:rsidR="00546D7A" w:rsidRPr="00111527" w:rsidRDefault="00546D7A" w:rsidP="00AE4F28">
            <w:pPr>
              <w:suppressAutoHyphens/>
              <w:snapToGrid w:val="0"/>
              <w:spacing w:after="0" w:line="240" w:lineRule="auto"/>
              <w:ind w:left="170"/>
              <w:rPr>
                <w:rFonts w:ascii="Times New Roman" w:hAnsi="Times New Roman"/>
                <w:bCs/>
                <w:lang w:eastAsia="ar-SA"/>
              </w:rPr>
            </w:pPr>
          </w:p>
        </w:tc>
        <w:tc>
          <w:tcPr>
            <w:tcW w:w="722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AE4F28" w:rsidRPr="008F1C8F" w:rsidRDefault="004D7503" w:rsidP="004D7503">
            <w:pPr>
              <w:suppressAutoHyphens/>
              <w:autoSpaceDE w:val="0"/>
              <w:snapToGrid w:val="0"/>
              <w:spacing w:after="0" w:line="100" w:lineRule="atLeast"/>
              <w:ind w:left="284"/>
              <w:jc w:val="both"/>
              <w:rPr>
                <w:rFonts w:ascii="Times New Roman" w:hAnsi="Times New Roman"/>
                <w:bCs/>
                <w:sz w:val="24"/>
                <w:szCs w:val="24"/>
                <w:lang w:eastAsia="ar-SA"/>
              </w:rPr>
            </w:pPr>
            <w:r w:rsidRPr="004D7503">
              <w:rPr>
                <w:rFonts w:ascii="Times New Roman" w:hAnsi="Times New Roman"/>
                <w:bCs/>
                <w:lang w:eastAsia="ar-SA"/>
              </w:rPr>
              <w:t>Školske ustanove ne donose strateške, već godišnje operativne planove (Godišnji plan i program i Školski kurikulum) prema planu i programu koje je donijelo Ministarstvo znanosti i obrazovanja. Školski planovi se donose za školsku, a ne za kalendarsku godinu. To je mogući uzrok odstupanjima u izvršenju financijskih planova, na primjer, pomak određenih aktivnosti unutar školske godine iz jednog polugodišta u drugo može uzrokovati promjene u izvršenju financijskog plana za dvije kalendarske godine.</w:t>
            </w:r>
          </w:p>
        </w:tc>
      </w:tr>
      <w:tr w:rsidR="00C51F1D" w:rsidRPr="00327A34" w:rsidTr="00C72D02">
        <w:trPr>
          <w:trHeight w:val="695"/>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rsidR="00C51F1D" w:rsidRDefault="00C51F1D" w:rsidP="00AE4F28">
            <w:pPr>
              <w:suppressAutoHyphens/>
              <w:snapToGrid w:val="0"/>
              <w:spacing w:after="0" w:line="240" w:lineRule="auto"/>
              <w:ind w:left="170"/>
              <w:rPr>
                <w:rFonts w:ascii="Book Antiqua" w:hAnsi="Book Antiqua"/>
                <w:bCs/>
                <w:sz w:val="20"/>
                <w:szCs w:val="20"/>
                <w:lang w:eastAsia="ar-SA"/>
              </w:rPr>
            </w:pPr>
            <w:r>
              <w:rPr>
                <w:rFonts w:ascii="Book Antiqua" w:hAnsi="Book Antiqua"/>
                <w:bCs/>
                <w:sz w:val="20"/>
                <w:szCs w:val="20"/>
                <w:lang w:eastAsia="ar-SA"/>
              </w:rPr>
              <w:t>PROCJENA I ISHODIŠTE POTREBNIH SREDSTAVA ZA PROVOĐENJE PROGRAMA</w:t>
            </w:r>
          </w:p>
          <w:p w:rsidR="00546D7A" w:rsidRDefault="00546D7A" w:rsidP="00AE4F28">
            <w:pPr>
              <w:suppressAutoHyphens/>
              <w:snapToGrid w:val="0"/>
              <w:spacing w:after="0" w:line="240" w:lineRule="auto"/>
              <w:ind w:left="170"/>
              <w:rPr>
                <w:rFonts w:ascii="Book Antiqua" w:hAnsi="Book Antiqua"/>
                <w:bCs/>
                <w:sz w:val="20"/>
                <w:szCs w:val="20"/>
                <w:lang w:eastAsia="ar-SA"/>
              </w:rPr>
            </w:pPr>
          </w:p>
        </w:tc>
        <w:tc>
          <w:tcPr>
            <w:tcW w:w="722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4D7503" w:rsidRDefault="004D7503" w:rsidP="004D7503">
            <w:pPr>
              <w:suppressAutoHyphens/>
              <w:autoSpaceDE w:val="0"/>
              <w:snapToGrid w:val="0"/>
              <w:spacing w:after="0" w:line="100" w:lineRule="atLeast"/>
              <w:ind w:left="284" w:right="227"/>
              <w:jc w:val="both"/>
              <w:rPr>
                <w:rFonts w:ascii="Times New Roman" w:hAnsi="Times New Roman"/>
                <w:lang w:eastAsia="ar-SA"/>
              </w:rPr>
            </w:pPr>
            <w:r>
              <w:rPr>
                <w:rFonts w:ascii="Times New Roman" w:hAnsi="Times New Roman"/>
                <w:lang w:eastAsia="ar-SA"/>
              </w:rPr>
              <w:t>Izvori sredstava za financiranje aktivnosti i poslovanja Osnovne škole Lovinac su:</w:t>
            </w:r>
          </w:p>
          <w:p w:rsidR="004D7503" w:rsidRDefault="004D7503" w:rsidP="004D7503">
            <w:pPr>
              <w:suppressAutoHyphens/>
              <w:autoSpaceDE w:val="0"/>
              <w:snapToGrid w:val="0"/>
              <w:spacing w:after="0" w:line="100" w:lineRule="atLeast"/>
              <w:ind w:left="284" w:right="227"/>
              <w:jc w:val="both"/>
              <w:rPr>
                <w:rFonts w:ascii="Times New Roman" w:hAnsi="Times New Roman"/>
                <w:lang w:eastAsia="ar-SA"/>
              </w:rPr>
            </w:pPr>
            <w:r>
              <w:rPr>
                <w:rFonts w:ascii="Times New Roman" w:hAnsi="Times New Roman"/>
                <w:lang w:eastAsia="ar-SA"/>
              </w:rPr>
              <w:t>•</w:t>
            </w:r>
            <w:r>
              <w:rPr>
                <w:rFonts w:ascii="Times New Roman" w:hAnsi="Times New Roman"/>
                <w:lang w:eastAsia="ar-SA"/>
              </w:rPr>
              <w:tab/>
              <w:t>Opći prihodi i primici, skupina 671, lokalni proračun za materijalne troškove poslovanja te održavanje i obnovu nefinancijske imovine,</w:t>
            </w:r>
          </w:p>
          <w:p w:rsidR="004D7503" w:rsidRDefault="004D7503" w:rsidP="004D7503">
            <w:pPr>
              <w:suppressAutoHyphens/>
              <w:autoSpaceDE w:val="0"/>
              <w:snapToGrid w:val="0"/>
              <w:spacing w:after="0" w:line="100" w:lineRule="atLeast"/>
              <w:ind w:left="284" w:right="227"/>
              <w:jc w:val="both"/>
              <w:rPr>
                <w:rFonts w:ascii="Times New Roman" w:hAnsi="Times New Roman"/>
                <w:lang w:eastAsia="ar-SA"/>
              </w:rPr>
            </w:pPr>
            <w:r>
              <w:rPr>
                <w:rFonts w:ascii="Times New Roman" w:hAnsi="Times New Roman"/>
                <w:lang w:eastAsia="ar-SA"/>
              </w:rPr>
              <w:t>•</w:t>
            </w:r>
            <w:r>
              <w:rPr>
                <w:rFonts w:ascii="Times New Roman" w:hAnsi="Times New Roman"/>
                <w:lang w:eastAsia="ar-SA"/>
              </w:rPr>
              <w:tab/>
              <w:t>Tekuće pomoći proračunu iz drugih proračuna 636,</w:t>
            </w:r>
          </w:p>
          <w:p w:rsidR="004D7503" w:rsidRDefault="004D7503" w:rsidP="004D7503">
            <w:pPr>
              <w:suppressAutoHyphens/>
              <w:autoSpaceDE w:val="0"/>
              <w:snapToGrid w:val="0"/>
              <w:spacing w:after="0" w:line="100" w:lineRule="atLeast"/>
              <w:ind w:left="284" w:right="227"/>
              <w:jc w:val="both"/>
              <w:rPr>
                <w:rFonts w:ascii="Times New Roman" w:hAnsi="Times New Roman"/>
                <w:lang w:eastAsia="ar-SA"/>
              </w:rPr>
            </w:pPr>
            <w:r>
              <w:rPr>
                <w:rFonts w:ascii="Times New Roman" w:hAnsi="Times New Roman"/>
                <w:lang w:eastAsia="ar-SA"/>
              </w:rPr>
              <w:t>•</w:t>
            </w:r>
            <w:r>
              <w:rPr>
                <w:rFonts w:ascii="Times New Roman" w:hAnsi="Times New Roman"/>
                <w:lang w:eastAsia="ar-SA"/>
              </w:rPr>
              <w:tab/>
              <w:t>Vlastiti prihodi od prodaje proizvoda 661,</w:t>
            </w:r>
          </w:p>
          <w:p w:rsidR="004D7503" w:rsidRPr="004D7503" w:rsidRDefault="004D7503" w:rsidP="004D7503">
            <w:pPr>
              <w:suppressAutoHyphens/>
              <w:autoSpaceDE w:val="0"/>
              <w:snapToGrid w:val="0"/>
              <w:spacing w:after="0" w:line="100" w:lineRule="atLeast"/>
              <w:ind w:left="284" w:right="227"/>
              <w:jc w:val="both"/>
              <w:rPr>
                <w:rFonts w:ascii="Times New Roman" w:hAnsi="Times New Roman"/>
                <w:lang w:eastAsia="ar-SA"/>
              </w:rPr>
            </w:pPr>
            <w:r>
              <w:rPr>
                <w:rFonts w:ascii="Times New Roman" w:hAnsi="Times New Roman"/>
                <w:lang w:eastAsia="ar-SA"/>
              </w:rPr>
              <w:t>•</w:t>
            </w:r>
            <w:r>
              <w:rPr>
                <w:rFonts w:ascii="Times New Roman" w:hAnsi="Times New Roman"/>
                <w:lang w:eastAsia="ar-SA"/>
              </w:rPr>
              <w:tab/>
              <w:t>Donacije od pravnih i fizičkih osoba izvan općeg proračuna 663,</w:t>
            </w:r>
            <w:r w:rsidRPr="004D7503">
              <w:rPr>
                <w:rFonts w:ascii="Times New Roman" w:hAnsi="Times New Roman"/>
                <w:lang w:eastAsia="ar-SA"/>
              </w:rPr>
              <w:t>.</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lastRenderedPageBreak/>
              <w:t>Prihode Ličko-senjske županije za financiranje rashoda planirali smo primjenom financijskih pokazatelja iz prethodnih godina. Od tako dobivenih vrijednosti prihoda prvo smo predvidjeli „fiksne rashode“ koji se planiraju na osnovi potrošnje tekuće godine, tj. troškove energije, prijevoza učenika, stručna usavršavanja zaposlenika, zdravstveni pregled djelatnika, deratizaciju, dimnjačarske usluge, troškovi lož ulja.</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Rashode za tekuće i investicijsko održavanje planirali smo u manjem iznosu, nego što očekujemo ostvariti prema broju učenika, broju odjeljenja i za zgradu jer i nadalje planiramo sve radove, osim onih za koje je potrebno ovlaštenje, izvoditi sami i time što više sredstava uštedjeti za opće troškove. U rashodima iz kategorije općih troškova najprije smo planirali rashode za komunalne usluge i odvoz smeća, rashode za telefon i poštu, platni promet te materijal za redovno održavanje. Nakon toga planiramo ostale troškove prema prioritetima funkcioniranja škole. Sredstva za organizaciju natjecanja planirana su u minimalnim iznosima, procijenjeni su samo troškovi prijevoza učenika i dnevnice učitelja.</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Plan razvojnih programa nije sačinjen, jer za njega nisu osigurana sredstva. Naime , osnivač nam osigurava sredstva za tekuće i investicijsko održavanje samo u okviru minimalnog standarda.</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 xml:space="preserve">Rashode za </w:t>
            </w:r>
            <w:r w:rsidR="0095465B">
              <w:rPr>
                <w:rFonts w:ascii="Times New Roman" w:hAnsi="Times New Roman"/>
                <w:lang w:eastAsia="ar-SA"/>
              </w:rPr>
              <w:t xml:space="preserve">službena putovanja djelatnika, </w:t>
            </w:r>
            <w:r>
              <w:rPr>
                <w:rFonts w:ascii="Times New Roman" w:hAnsi="Times New Roman"/>
                <w:lang w:eastAsia="ar-SA"/>
              </w:rPr>
              <w:t xml:space="preserve">stručna usavršavanja zaposlenika te ostale naknade zaposlenima planirali smo u iznosu od </w:t>
            </w:r>
            <w:r w:rsidR="0095465B">
              <w:rPr>
                <w:rFonts w:ascii="Times New Roman" w:hAnsi="Times New Roman"/>
                <w:lang w:eastAsia="ar-SA"/>
              </w:rPr>
              <w:t>28.305</w:t>
            </w:r>
            <w:r>
              <w:rPr>
                <w:rFonts w:ascii="Times New Roman" w:hAnsi="Times New Roman"/>
                <w:lang w:eastAsia="ar-SA"/>
              </w:rPr>
              <w:t xml:space="preserve"> kuna. </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 xml:space="preserve">Rashode za materijal i energiju, u koje ulaze troškovi uredskog materijala i sitnog inventara, troškovi energije, lož ulje, električna energija, </w:t>
            </w:r>
            <w:r w:rsidR="0095465B">
              <w:rPr>
                <w:rFonts w:ascii="Times New Roman" w:hAnsi="Times New Roman"/>
                <w:lang w:eastAsia="ar-SA"/>
              </w:rPr>
              <w:t>m</w:t>
            </w:r>
            <w:r>
              <w:rPr>
                <w:rFonts w:ascii="Times New Roman" w:hAnsi="Times New Roman"/>
                <w:lang w:eastAsia="ar-SA"/>
              </w:rPr>
              <w:t>aterijal za tekuće i investicijsko održavanje</w:t>
            </w:r>
            <w:r w:rsidR="0095465B">
              <w:rPr>
                <w:rFonts w:ascii="Times New Roman" w:hAnsi="Times New Roman"/>
                <w:lang w:eastAsia="ar-SA"/>
              </w:rPr>
              <w:t xml:space="preserve"> planirali smo u iznosu od 142.784 kune</w:t>
            </w:r>
            <w:r>
              <w:rPr>
                <w:rFonts w:ascii="Times New Roman" w:hAnsi="Times New Roman"/>
                <w:lang w:eastAsia="ar-SA"/>
              </w:rPr>
              <w:t>.</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 xml:space="preserve">Rashode za usluge planirali smo u iznosu od </w:t>
            </w:r>
            <w:r w:rsidR="0095465B">
              <w:rPr>
                <w:rFonts w:ascii="Times New Roman" w:hAnsi="Times New Roman"/>
                <w:lang w:eastAsia="ar-SA"/>
              </w:rPr>
              <w:t>86.121</w:t>
            </w:r>
            <w:r>
              <w:rPr>
                <w:rFonts w:ascii="Times New Roman" w:hAnsi="Times New Roman"/>
                <w:lang w:eastAsia="ar-SA"/>
              </w:rPr>
              <w:t>, a u njih ulaze troškovi usluga telefona, interneta i  pošte, usluge tekućeg i investicijskog održavanja, usluge promidžbe i informiranja, komunalne usluge</w:t>
            </w:r>
            <w:r w:rsidR="0095465B">
              <w:rPr>
                <w:rFonts w:ascii="Times New Roman" w:hAnsi="Times New Roman"/>
                <w:lang w:eastAsia="ar-SA"/>
              </w:rPr>
              <w:t xml:space="preserve"> te</w:t>
            </w:r>
            <w:r>
              <w:rPr>
                <w:rFonts w:ascii="Times New Roman" w:hAnsi="Times New Roman"/>
                <w:lang w:eastAsia="ar-SA"/>
              </w:rPr>
              <w:t xml:space="preserve"> računalne usluge. Za ostale nespomenute rashode planiran je iznos od </w:t>
            </w:r>
            <w:r w:rsidR="0095465B">
              <w:rPr>
                <w:rFonts w:ascii="Times New Roman" w:hAnsi="Times New Roman"/>
                <w:lang w:eastAsia="ar-SA"/>
              </w:rPr>
              <w:t>10.948</w:t>
            </w:r>
            <w:r>
              <w:rPr>
                <w:rFonts w:ascii="Times New Roman" w:hAnsi="Times New Roman"/>
                <w:lang w:eastAsia="ar-SA"/>
              </w:rPr>
              <w:t xml:space="preserve"> kuna. </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Financijski rashodi planirani su u iznosu od 2.</w:t>
            </w:r>
            <w:r w:rsidR="0095465B">
              <w:rPr>
                <w:rFonts w:ascii="Times New Roman" w:hAnsi="Times New Roman"/>
                <w:lang w:eastAsia="ar-SA"/>
              </w:rPr>
              <w:t>142 kune</w:t>
            </w:r>
            <w:r>
              <w:rPr>
                <w:rFonts w:ascii="Times New Roman" w:hAnsi="Times New Roman"/>
                <w:lang w:eastAsia="ar-SA"/>
              </w:rPr>
              <w:t>.</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 xml:space="preserve">Rashode za nabavu nefinancijske imovine planirali smo u iznosu od </w:t>
            </w:r>
            <w:r w:rsidR="0095465B">
              <w:rPr>
                <w:rFonts w:ascii="Times New Roman" w:hAnsi="Times New Roman"/>
                <w:lang w:eastAsia="ar-SA"/>
              </w:rPr>
              <w:t>61</w:t>
            </w:r>
            <w:r>
              <w:rPr>
                <w:rFonts w:ascii="Times New Roman" w:hAnsi="Times New Roman"/>
                <w:lang w:eastAsia="ar-SA"/>
              </w:rPr>
              <w:t>.2</w:t>
            </w:r>
            <w:r w:rsidR="0095465B">
              <w:rPr>
                <w:rFonts w:ascii="Times New Roman" w:hAnsi="Times New Roman"/>
                <w:lang w:eastAsia="ar-SA"/>
              </w:rPr>
              <w:t>00</w:t>
            </w:r>
            <w:r>
              <w:rPr>
                <w:rFonts w:ascii="Times New Roman" w:hAnsi="Times New Roman"/>
                <w:lang w:eastAsia="ar-SA"/>
              </w:rPr>
              <w:t xml:space="preserve"> k</w:t>
            </w:r>
            <w:r w:rsidR="0095465B">
              <w:rPr>
                <w:rFonts w:ascii="Times New Roman" w:hAnsi="Times New Roman"/>
                <w:lang w:eastAsia="ar-SA"/>
              </w:rPr>
              <w:t>u</w:t>
            </w:r>
            <w:r>
              <w:rPr>
                <w:rFonts w:ascii="Times New Roman" w:hAnsi="Times New Roman"/>
                <w:lang w:eastAsia="ar-SA"/>
              </w:rPr>
              <w:t>n</w:t>
            </w:r>
            <w:r w:rsidR="0095465B">
              <w:rPr>
                <w:rFonts w:ascii="Times New Roman" w:hAnsi="Times New Roman"/>
                <w:lang w:eastAsia="ar-SA"/>
              </w:rPr>
              <w:t>a</w:t>
            </w:r>
            <w:r>
              <w:rPr>
                <w:rFonts w:ascii="Times New Roman" w:hAnsi="Times New Roman"/>
                <w:lang w:eastAsia="ar-SA"/>
              </w:rPr>
              <w:t>.</w:t>
            </w:r>
          </w:p>
          <w:p w:rsidR="004D7503" w:rsidRDefault="004D7503" w:rsidP="004D7503">
            <w:pPr>
              <w:suppressAutoHyphens/>
              <w:autoSpaceDE w:val="0"/>
              <w:snapToGrid w:val="0"/>
              <w:spacing w:after="0" w:line="100" w:lineRule="atLeast"/>
              <w:ind w:left="284" w:right="227"/>
              <w:rPr>
                <w:rFonts w:ascii="Times New Roman" w:hAnsi="Times New Roman"/>
                <w:lang w:eastAsia="ar-SA"/>
              </w:rPr>
            </w:pPr>
            <w:r>
              <w:rPr>
                <w:rFonts w:ascii="Times New Roman" w:hAnsi="Times New Roman"/>
                <w:lang w:eastAsia="ar-SA"/>
              </w:rPr>
              <w:t>U školskoj godini 201</w:t>
            </w:r>
            <w:r w:rsidR="0095465B">
              <w:rPr>
                <w:rFonts w:ascii="Times New Roman" w:hAnsi="Times New Roman"/>
                <w:lang w:eastAsia="ar-SA"/>
              </w:rPr>
              <w:t>8</w:t>
            </w:r>
            <w:r>
              <w:rPr>
                <w:rFonts w:ascii="Times New Roman" w:hAnsi="Times New Roman"/>
                <w:lang w:eastAsia="ar-SA"/>
              </w:rPr>
              <w:t>./201</w:t>
            </w:r>
            <w:r w:rsidR="0095465B">
              <w:rPr>
                <w:rFonts w:ascii="Times New Roman" w:hAnsi="Times New Roman"/>
                <w:lang w:eastAsia="ar-SA"/>
              </w:rPr>
              <w:t>9</w:t>
            </w:r>
            <w:r>
              <w:rPr>
                <w:rFonts w:ascii="Times New Roman" w:hAnsi="Times New Roman"/>
                <w:lang w:eastAsia="ar-SA"/>
              </w:rPr>
              <w:t>. planiramo se uključiti u projekt „</w:t>
            </w:r>
            <w:r w:rsidR="0095465B">
              <w:rPr>
                <w:rFonts w:ascii="Times New Roman" w:hAnsi="Times New Roman"/>
                <w:lang w:eastAsia="ar-SA"/>
              </w:rPr>
              <w:t>Školski zalogajčić</w:t>
            </w:r>
            <w:r>
              <w:rPr>
                <w:rFonts w:ascii="Times New Roman" w:hAnsi="Times New Roman"/>
                <w:lang w:eastAsia="ar-SA"/>
              </w:rPr>
              <w:t xml:space="preserve">“ usmjeren osiguranju prehrane djeci u riziku od siromaštva tijekom boravka u Osnovnoj školi Lovinac koji je objavilo Ministarstvo socijalne politike i mladih, nositelj projekta je Ličko-senjska županija. Projektom se planiraju osigurati obroci za </w:t>
            </w:r>
            <w:r w:rsidR="0095465B">
              <w:rPr>
                <w:rFonts w:ascii="Times New Roman" w:hAnsi="Times New Roman"/>
                <w:lang w:eastAsia="ar-SA"/>
              </w:rPr>
              <w:t>32</w:t>
            </w:r>
            <w:r>
              <w:rPr>
                <w:rFonts w:ascii="Times New Roman" w:hAnsi="Times New Roman"/>
                <w:lang w:eastAsia="ar-SA"/>
              </w:rPr>
              <w:t xml:space="preserve"> učenika, potrebna su sredstva u iznosu od 2</w:t>
            </w:r>
            <w:r w:rsidR="0095465B">
              <w:rPr>
                <w:rFonts w:ascii="Times New Roman" w:hAnsi="Times New Roman"/>
                <w:lang w:eastAsia="ar-SA"/>
              </w:rPr>
              <w:t>9.582 kune</w:t>
            </w:r>
            <w:r>
              <w:rPr>
                <w:rFonts w:ascii="Times New Roman" w:hAnsi="Times New Roman"/>
                <w:lang w:eastAsia="ar-SA"/>
              </w:rPr>
              <w:t xml:space="preserve">. Za </w:t>
            </w:r>
            <w:r w:rsidR="0095465B">
              <w:rPr>
                <w:rFonts w:ascii="Times New Roman" w:hAnsi="Times New Roman"/>
                <w:lang w:eastAsia="ar-SA"/>
              </w:rPr>
              <w:t>10</w:t>
            </w:r>
            <w:r>
              <w:rPr>
                <w:rFonts w:ascii="Times New Roman" w:hAnsi="Times New Roman"/>
                <w:lang w:eastAsia="ar-SA"/>
              </w:rPr>
              <w:t xml:space="preserve"> učenika koji nisu ispunjavali uvjete i kriterije propisane projektom financijska sredstva za prehranu osigurati će Općina Lovinac. </w:t>
            </w:r>
          </w:p>
          <w:p w:rsidR="00C51F1D" w:rsidRPr="004D7503" w:rsidRDefault="00C51F1D" w:rsidP="004D7503">
            <w:pPr>
              <w:suppressAutoHyphens/>
              <w:autoSpaceDE w:val="0"/>
              <w:snapToGrid w:val="0"/>
              <w:spacing w:after="0" w:line="100" w:lineRule="atLeast"/>
              <w:jc w:val="both"/>
              <w:rPr>
                <w:rFonts w:ascii="Times New Roman" w:hAnsi="Times New Roman"/>
                <w:lang w:eastAsia="ar-SA"/>
              </w:rPr>
            </w:pPr>
          </w:p>
        </w:tc>
      </w:tr>
      <w:tr w:rsidR="0007477B" w:rsidRPr="00327A34" w:rsidTr="00C72D02">
        <w:trPr>
          <w:trHeight w:val="1062"/>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rsidR="0007477B" w:rsidRDefault="00C51F1D" w:rsidP="00E238CF">
            <w:pPr>
              <w:suppressAutoHyphens/>
              <w:snapToGrid w:val="0"/>
              <w:spacing w:after="0" w:line="240" w:lineRule="auto"/>
              <w:ind w:left="170"/>
              <w:rPr>
                <w:rFonts w:ascii="Book Antiqua" w:hAnsi="Book Antiqua"/>
                <w:bCs/>
                <w:sz w:val="20"/>
                <w:szCs w:val="20"/>
                <w:lang w:eastAsia="ar-SA"/>
              </w:rPr>
            </w:pPr>
            <w:r>
              <w:rPr>
                <w:rFonts w:ascii="Book Antiqua" w:hAnsi="Book Antiqua"/>
                <w:bCs/>
                <w:sz w:val="20"/>
                <w:szCs w:val="20"/>
                <w:lang w:eastAsia="ar-SA"/>
              </w:rPr>
              <w:lastRenderedPageBreak/>
              <w:t>CILJEVI PROVEDBE PROGRAMA U RAZDOBLJU OD 201</w:t>
            </w:r>
            <w:r w:rsidR="00546D7A">
              <w:rPr>
                <w:rFonts w:ascii="Book Antiqua" w:hAnsi="Book Antiqua"/>
                <w:bCs/>
                <w:sz w:val="20"/>
                <w:szCs w:val="20"/>
                <w:lang w:eastAsia="ar-SA"/>
              </w:rPr>
              <w:t>9</w:t>
            </w:r>
            <w:r>
              <w:rPr>
                <w:rFonts w:ascii="Book Antiqua" w:hAnsi="Book Antiqua"/>
                <w:bCs/>
                <w:sz w:val="20"/>
                <w:szCs w:val="20"/>
                <w:lang w:eastAsia="ar-SA"/>
              </w:rPr>
              <w:t>.-202</w:t>
            </w:r>
            <w:r w:rsidR="00546D7A">
              <w:rPr>
                <w:rFonts w:ascii="Book Antiqua" w:hAnsi="Book Antiqua"/>
                <w:bCs/>
                <w:sz w:val="20"/>
                <w:szCs w:val="20"/>
                <w:lang w:eastAsia="ar-SA"/>
              </w:rPr>
              <w:t>1</w:t>
            </w:r>
            <w:r>
              <w:rPr>
                <w:rFonts w:ascii="Book Antiqua" w:hAnsi="Book Antiqua"/>
                <w:bCs/>
                <w:sz w:val="20"/>
                <w:szCs w:val="20"/>
                <w:lang w:eastAsia="ar-SA"/>
              </w:rPr>
              <w:t>. GODINE I POKAZATELJI USPJEŠNOSTI S KOJIMA ĆE SE MJERITI OSTVARENJE TIH CILJEVA:</w:t>
            </w:r>
          </w:p>
          <w:p w:rsidR="00546D7A" w:rsidRPr="00111527" w:rsidRDefault="00546D7A" w:rsidP="00E238CF">
            <w:pPr>
              <w:suppressAutoHyphens/>
              <w:snapToGrid w:val="0"/>
              <w:spacing w:after="0" w:line="240" w:lineRule="auto"/>
              <w:ind w:left="170"/>
              <w:rPr>
                <w:rFonts w:ascii="Times New Roman" w:hAnsi="Times New Roman"/>
                <w:bCs/>
                <w:lang w:eastAsia="ar-SA"/>
              </w:rPr>
            </w:pPr>
          </w:p>
        </w:tc>
        <w:tc>
          <w:tcPr>
            <w:tcW w:w="722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07477B" w:rsidRPr="00111527" w:rsidRDefault="0095465B" w:rsidP="00111527">
            <w:pPr>
              <w:suppressAutoHyphens/>
              <w:autoSpaceDE w:val="0"/>
              <w:snapToGrid w:val="0"/>
              <w:spacing w:after="0" w:line="100" w:lineRule="atLeast"/>
              <w:ind w:right="227"/>
              <w:jc w:val="both"/>
              <w:rPr>
                <w:rFonts w:ascii="Times New Roman" w:hAnsi="Times New Roman"/>
                <w:lang w:eastAsia="ar-SA"/>
              </w:rPr>
            </w:pPr>
            <w:r>
              <w:rPr>
                <w:rFonts w:ascii="Times New Roman" w:hAnsi="Times New Roman"/>
                <w:lang w:eastAsia="ar-SA"/>
              </w:rPr>
              <w:t>Glavni ciljevi provedbe programa rada škole jesu ostvarenje planiranih programa sukladno Godišnjem planu i programu rada škole u školskoj godini 2018./2019. godini.</w:t>
            </w:r>
          </w:p>
        </w:tc>
      </w:tr>
      <w:tr w:rsidR="005064F7" w:rsidRPr="00327A34" w:rsidTr="009A3181">
        <w:trPr>
          <w:trHeight w:val="567"/>
        </w:trPr>
        <w:tc>
          <w:tcPr>
            <w:tcW w:w="3004" w:type="dxa"/>
            <w:tcBorders>
              <w:top w:val="single" w:sz="6" w:space="0" w:color="auto"/>
              <w:left w:val="single" w:sz="6" w:space="0" w:color="auto"/>
              <w:bottom w:val="single" w:sz="4" w:space="0" w:color="auto"/>
              <w:right w:val="single" w:sz="6" w:space="0" w:color="auto"/>
            </w:tcBorders>
            <w:shd w:val="clear" w:color="auto" w:fill="auto"/>
            <w:vAlign w:val="center"/>
          </w:tcPr>
          <w:p w:rsidR="005064F7" w:rsidRDefault="005064F7" w:rsidP="00546D7A">
            <w:pPr>
              <w:suppressAutoHyphens/>
              <w:snapToGrid w:val="0"/>
              <w:spacing w:after="0" w:line="240" w:lineRule="auto"/>
              <w:ind w:left="170"/>
              <w:rPr>
                <w:rFonts w:ascii="Times New Roman" w:hAnsi="Times New Roman"/>
                <w:bCs/>
                <w:lang w:eastAsia="ar-SA"/>
              </w:rPr>
            </w:pPr>
            <w:r>
              <w:rPr>
                <w:rFonts w:ascii="Times New Roman" w:hAnsi="Times New Roman"/>
                <w:bCs/>
                <w:lang w:eastAsia="ar-SA"/>
              </w:rPr>
              <w:t>RAZLOG ODSTUPANJA OD PROŠLOGODIŠNJIH PRO</w:t>
            </w:r>
            <w:r w:rsidR="00F26905">
              <w:rPr>
                <w:rFonts w:ascii="Times New Roman" w:hAnsi="Times New Roman"/>
                <w:bCs/>
                <w:lang w:eastAsia="ar-SA"/>
              </w:rPr>
              <w:t>JEKCIJA ZA 201</w:t>
            </w:r>
            <w:r w:rsidR="00546D7A">
              <w:rPr>
                <w:rFonts w:ascii="Times New Roman" w:hAnsi="Times New Roman"/>
                <w:bCs/>
                <w:lang w:eastAsia="ar-SA"/>
              </w:rPr>
              <w:t>9. I 2020</w:t>
            </w:r>
            <w:r w:rsidR="00F26905">
              <w:rPr>
                <w:rFonts w:ascii="Times New Roman" w:hAnsi="Times New Roman"/>
                <w:bCs/>
                <w:lang w:eastAsia="ar-SA"/>
              </w:rPr>
              <w:t>. GODINU</w:t>
            </w:r>
          </w:p>
          <w:p w:rsidR="00546D7A" w:rsidRDefault="00546D7A" w:rsidP="00546D7A">
            <w:pPr>
              <w:suppressAutoHyphens/>
              <w:snapToGrid w:val="0"/>
              <w:spacing w:after="0" w:line="240" w:lineRule="auto"/>
              <w:ind w:left="170"/>
              <w:rPr>
                <w:rFonts w:ascii="Times New Roman" w:hAnsi="Times New Roman"/>
                <w:bCs/>
                <w:lang w:eastAsia="ar-SA"/>
              </w:rPr>
            </w:pPr>
          </w:p>
        </w:tc>
        <w:tc>
          <w:tcPr>
            <w:tcW w:w="7229"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5064F7" w:rsidRPr="009A3181" w:rsidRDefault="0095465B" w:rsidP="00120B97">
            <w:pPr>
              <w:suppressAutoHyphens/>
              <w:snapToGrid w:val="0"/>
              <w:spacing w:after="0" w:line="240" w:lineRule="auto"/>
              <w:ind w:left="210" w:right="225"/>
              <w:jc w:val="both"/>
              <w:rPr>
                <w:rFonts w:ascii="Times New Roman" w:hAnsi="Times New Roman"/>
                <w:bCs/>
                <w:lang w:eastAsia="ar-SA"/>
              </w:rPr>
            </w:pPr>
            <w:r>
              <w:rPr>
                <w:rFonts w:ascii="Times New Roman" w:hAnsi="Times New Roman"/>
                <w:bCs/>
                <w:lang w:eastAsia="ar-SA"/>
              </w:rPr>
              <w:t>Odstupa</w:t>
            </w:r>
            <w:r w:rsidR="00120B97">
              <w:rPr>
                <w:rFonts w:ascii="Times New Roman" w:hAnsi="Times New Roman"/>
                <w:bCs/>
                <w:lang w:eastAsia="ar-SA"/>
              </w:rPr>
              <w:t xml:space="preserve">nja u odnosu na prošlogodišnje </w:t>
            </w:r>
            <w:r>
              <w:rPr>
                <w:rFonts w:ascii="Times New Roman" w:hAnsi="Times New Roman"/>
                <w:bCs/>
                <w:lang w:eastAsia="ar-SA"/>
              </w:rPr>
              <w:t>projekcije za 20</w:t>
            </w:r>
            <w:r w:rsidR="00120B97">
              <w:rPr>
                <w:rFonts w:ascii="Times New Roman" w:hAnsi="Times New Roman"/>
                <w:bCs/>
                <w:lang w:eastAsia="ar-SA"/>
              </w:rPr>
              <w:t>19</w:t>
            </w:r>
            <w:r>
              <w:rPr>
                <w:rFonts w:ascii="Times New Roman" w:hAnsi="Times New Roman"/>
                <w:bCs/>
                <w:lang w:eastAsia="ar-SA"/>
              </w:rPr>
              <w:t>. i 20</w:t>
            </w:r>
            <w:r w:rsidR="00120B97">
              <w:rPr>
                <w:rFonts w:ascii="Times New Roman" w:hAnsi="Times New Roman"/>
                <w:bCs/>
                <w:lang w:eastAsia="ar-SA"/>
              </w:rPr>
              <w:t>20</w:t>
            </w:r>
            <w:r>
              <w:rPr>
                <w:rFonts w:ascii="Times New Roman" w:hAnsi="Times New Roman"/>
                <w:bCs/>
                <w:lang w:eastAsia="ar-SA"/>
              </w:rPr>
              <w:t>. godinu iznose 2% uvećanja sukladno Uputi za izradu prijedloga financijskog plana.</w:t>
            </w:r>
          </w:p>
        </w:tc>
      </w:tr>
      <w:tr w:rsidR="006F394B" w:rsidRPr="00327A34" w:rsidTr="009A3181">
        <w:trPr>
          <w:trHeight w:val="567"/>
        </w:trPr>
        <w:tc>
          <w:tcPr>
            <w:tcW w:w="3004" w:type="dxa"/>
            <w:tcBorders>
              <w:top w:val="single" w:sz="4" w:space="0" w:color="auto"/>
              <w:left w:val="single" w:sz="6" w:space="0" w:color="auto"/>
              <w:bottom w:val="single" w:sz="20" w:space="0" w:color="000000"/>
              <w:right w:val="single" w:sz="6" w:space="0" w:color="auto"/>
            </w:tcBorders>
            <w:shd w:val="clear" w:color="auto" w:fill="auto"/>
            <w:vAlign w:val="center"/>
          </w:tcPr>
          <w:p w:rsidR="006F394B" w:rsidRDefault="006F394B" w:rsidP="00E238CF">
            <w:pPr>
              <w:suppressAutoHyphens/>
              <w:snapToGrid w:val="0"/>
              <w:spacing w:after="0" w:line="240" w:lineRule="auto"/>
              <w:ind w:left="170"/>
              <w:rPr>
                <w:rFonts w:ascii="Times New Roman" w:hAnsi="Times New Roman"/>
                <w:bCs/>
                <w:lang w:eastAsia="ar-SA"/>
              </w:rPr>
            </w:pPr>
            <w:r>
              <w:rPr>
                <w:rFonts w:ascii="Times New Roman" w:hAnsi="Times New Roman"/>
                <w:bCs/>
                <w:lang w:eastAsia="ar-SA"/>
              </w:rPr>
              <w:t>OSTALA OBRAZLOŽENJA I DOKUMENTACIJA</w:t>
            </w:r>
          </w:p>
        </w:tc>
        <w:tc>
          <w:tcPr>
            <w:tcW w:w="7229" w:type="dxa"/>
            <w:gridSpan w:val="6"/>
            <w:tcBorders>
              <w:top w:val="single" w:sz="4" w:space="0" w:color="auto"/>
              <w:left w:val="single" w:sz="6" w:space="0" w:color="auto"/>
              <w:bottom w:val="single" w:sz="20" w:space="0" w:color="000000"/>
              <w:right w:val="single" w:sz="6" w:space="0" w:color="auto"/>
            </w:tcBorders>
            <w:shd w:val="clear" w:color="auto" w:fill="auto"/>
            <w:vAlign w:val="center"/>
          </w:tcPr>
          <w:p w:rsidR="00120B97" w:rsidRDefault="00120B97" w:rsidP="00120B97">
            <w:pPr>
              <w:suppressAutoHyphens/>
              <w:snapToGrid w:val="0"/>
              <w:spacing w:after="0" w:line="240" w:lineRule="auto"/>
              <w:ind w:left="210" w:right="225"/>
              <w:jc w:val="both"/>
              <w:rPr>
                <w:rFonts w:ascii="Times New Roman" w:hAnsi="Times New Roman"/>
                <w:bCs/>
                <w:lang w:eastAsia="ar-SA"/>
              </w:rPr>
            </w:pPr>
            <w:r>
              <w:rPr>
                <w:rFonts w:ascii="Times New Roman" w:hAnsi="Times New Roman"/>
                <w:bCs/>
                <w:lang w:eastAsia="ar-SA"/>
              </w:rPr>
              <w:t>Zaposlenici su se stručno usavršavali na seminarima, stručnim aktivima i drugim oblicima nadogradnje.</w:t>
            </w:r>
          </w:p>
          <w:p w:rsidR="00120B97" w:rsidRDefault="00120B97" w:rsidP="00120B97">
            <w:pPr>
              <w:suppressAutoHyphens/>
              <w:snapToGrid w:val="0"/>
              <w:spacing w:after="0" w:line="240" w:lineRule="auto"/>
              <w:ind w:left="210" w:right="225"/>
              <w:jc w:val="both"/>
              <w:rPr>
                <w:rFonts w:ascii="Times New Roman" w:hAnsi="Times New Roman"/>
                <w:bCs/>
                <w:lang w:eastAsia="ar-SA"/>
              </w:rPr>
            </w:pPr>
            <w:r>
              <w:rPr>
                <w:rFonts w:ascii="Times New Roman" w:hAnsi="Times New Roman"/>
                <w:bCs/>
                <w:lang w:eastAsia="ar-SA"/>
              </w:rPr>
              <w:t xml:space="preserve">Rezultatima rada škole možemo biti zadovoljni, naročito uspjesima naših učenika u okviru natjecanja gdje su naši učenici postigli zapažene rezultate </w:t>
            </w:r>
            <w:r>
              <w:rPr>
                <w:rFonts w:ascii="Times New Roman" w:hAnsi="Times New Roman"/>
                <w:bCs/>
                <w:lang w:eastAsia="ar-SA"/>
              </w:rPr>
              <w:lastRenderedPageBreak/>
              <w:t xml:space="preserve">na županijskim natjecanjima kao i entuzijazmom svih djelatnika. </w:t>
            </w:r>
          </w:p>
          <w:p w:rsidR="006F394B" w:rsidRPr="00111527" w:rsidRDefault="006F394B" w:rsidP="00111527">
            <w:pPr>
              <w:suppressAutoHyphens/>
              <w:snapToGrid w:val="0"/>
              <w:spacing w:after="0" w:line="240" w:lineRule="auto"/>
              <w:ind w:left="210" w:right="225"/>
              <w:jc w:val="both"/>
              <w:rPr>
                <w:rFonts w:ascii="Times New Roman" w:hAnsi="Times New Roman"/>
                <w:bCs/>
                <w:sz w:val="24"/>
                <w:szCs w:val="24"/>
                <w:lang w:eastAsia="ar-SA"/>
              </w:rPr>
            </w:pPr>
          </w:p>
        </w:tc>
      </w:tr>
    </w:tbl>
    <w:p w:rsidR="00380DC0" w:rsidRPr="005169FC" w:rsidRDefault="00380DC0" w:rsidP="008F1C8F">
      <w:pPr>
        <w:suppressAutoHyphens/>
        <w:spacing w:after="120"/>
        <w:ind w:firstLine="708"/>
        <w:jc w:val="both"/>
        <w:rPr>
          <w:rFonts w:ascii="Times New Roman" w:hAnsi="Times New Roman"/>
          <w:sz w:val="12"/>
          <w:szCs w:val="12"/>
          <w:lang w:eastAsia="ar-SA"/>
        </w:rPr>
      </w:pPr>
    </w:p>
    <w:p w:rsidR="00316345" w:rsidRDefault="005E0C6D" w:rsidP="005169FC">
      <w:pPr>
        <w:suppressAutoHyphens/>
        <w:spacing w:after="0"/>
        <w:ind w:firstLine="708"/>
        <w:jc w:val="both"/>
        <w:rPr>
          <w:rFonts w:ascii="Times New Roman" w:hAnsi="Times New Roman"/>
          <w:b/>
          <w:sz w:val="24"/>
          <w:szCs w:val="24"/>
          <w:lang w:eastAsia="ar-SA"/>
        </w:rPr>
      </w:pPr>
      <w:r>
        <w:rPr>
          <w:rFonts w:ascii="Times New Roman" w:hAnsi="Times New Roman"/>
          <w:sz w:val="24"/>
          <w:szCs w:val="24"/>
          <w:lang w:eastAsia="ar-SA"/>
        </w:rPr>
        <w:tab/>
      </w:r>
      <w:r w:rsidR="00316345">
        <w:rPr>
          <w:rFonts w:ascii="Times New Roman" w:hAnsi="Times New Roman"/>
          <w:sz w:val="24"/>
          <w:szCs w:val="24"/>
          <w:lang w:eastAsia="ar-SA"/>
        </w:rPr>
        <w:tab/>
      </w:r>
      <w:r w:rsidR="00316345">
        <w:rPr>
          <w:rFonts w:ascii="Times New Roman" w:hAnsi="Times New Roman"/>
          <w:sz w:val="24"/>
          <w:szCs w:val="24"/>
          <w:lang w:eastAsia="ar-SA"/>
        </w:rPr>
        <w:tab/>
      </w:r>
      <w:r w:rsidR="00316345">
        <w:rPr>
          <w:rFonts w:ascii="Times New Roman" w:hAnsi="Times New Roman"/>
          <w:sz w:val="24"/>
          <w:szCs w:val="24"/>
          <w:lang w:eastAsia="ar-SA"/>
        </w:rPr>
        <w:tab/>
      </w:r>
      <w:r w:rsidR="00316345">
        <w:rPr>
          <w:rFonts w:ascii="Times New Roman" w:hAnsi="Times New Roman"/>
          <w:sz w:val="24"/>
          <w:szCs w:val="24"/>
          <w:lang w:eastAsia="ar-SA"/>
        </w:rPr>
        <w:tab/>
      </w:r>
      <w:r w:rsidR="00316345">
        <w:rPr>
          <w:rFonts w:ascii="Times New Roman" w:hAnsi="Times New Roman"/>
          <w:sz w:val="24"/>
          <w:szCs w:val="24"/>
          <w:lang w:eastAsia="ar-SA"/>
        </w:rPr>
        <w:tab/>
      </w:r>
      <w:r w:rsidR="00316345">
        <w:rPr>
          <w:rFonts w:ascii="Times New Roman" w:hAnsi="Times New Roman"/>
          <w:sz w:val="24"/>
          <w:szCs w:val="24"/>
          <w:lang w:eastAsia="ar-SA"/>
        </w:rPr>
        <w:tab/>
      </w:r>
      <w:r w:rsidR="00316345" w:rsidRPr="005E0C6D">
        <w:rPr>
          <w:rFonts w:ascii="Times New Roman" w:hAnsi="Times New Roman"/>
          <w:b/>
          <w:sz w:val="24"/>
          <w:szCs w:val="24"/>
          <w:lang w:eastAsia="ar-SA"/>
        </w:rPr>
        <w:tab/>
      </w:r>
      <w:r>
        <w:rPr>
          <w:rFonts w:ascii="Times New Roman" w:hAnsi="Times New Roman"/>
          <w:b/>
          <w:sz w:val="24"/>
          <w:szCs w:val="24"/>
          <w:lang w:eastAsia="ar-SA"/>
        </w:rPr>
        <w:t xml:space="preserve">  </w:t>
      </w:r>
      <w:r>
        <w:rPr>
          <w:rFonts w:ascii="Times New Roman" w:hAnsi="Times New Roman"/>
          <w:b/>
          <w:sz w:val="24"/>
          <w:szCs w:val="24"/>
          <w:lang w:eastAsia="ar-SA"/>
        </w:rPr>
        <w:tab/>
      </w:r>
      <w:r w:rsidR="00120B97">
        <w:rPr>
          <w:rFonts w:ascii="Times New Roman" w:hAnsi="Times New Roman"/>
          <w:b/>
          <w:sz w:val="24"/>
          <w:szCs w:val="24"/>
          <w:lang w:eastAsia="ar-SA"/>
        </w:rPr>
        <w:t>Marija Tonković</w:t>
      </w:r>
    </w:p>
    <w:p w:rsidR="00120B97" w:rsidRPr="005E0C6D" w:rsidRDefault="00120B97" w:rsidP="00120B97">
      <w:pPr>
        <w:suppressAutoHyphens/>
        <w:spacing w:after="0"/>
        <w:ind w:left="6372" w:firstLine="708"/>
        <w:jc w:val="center"/>
        <w:rPr>
          <w:rFonts w:ascii="Times New Roman" w:hAnsi="Times New Roman"/>
          <w:b/>
          <w:sz w:val="24"/>
          <w:szCs w:val="24"/>
          <w:lang w:eastAsia="ar-SA"/>
        </w:rPr>
      </w:pPr>
      <w:r>
        <w:rPr>
          <w:rFonts w:ascii="Times New Roman" w:hAnsi="Times New Roman"/>
          <w:b/>
          <w:sz w:val="24"/>
          <w:szCs w:val="24"/>
          <w:lang w:eastAsia="ar-SA"/>
        </w:rPr>
        <w:t>v.d. ravnatelja</w:t>
      </w:r>
    </w:p>
    <w:p w:rsidR="005169FC" w:rsidRPr="005E0C6D" w:rsidRDefault="005169FC" w:rsidP="005169FC">
      <w:pPr>
        <w:suppressAutoHyphens/>
        <w:spacing w:after="0"/>
        <w:ind w:firstLine="708"/>
        <w:jc w:val="both"/>
        <w:rPr>
          <w:rFonts w:ascii="Times New Roman" w:hAnsi="Times New Roman"/>
          <w:b/>
          <w:sz w:val="12"/>
          <w:szCs w:val="12"/>
          <w:lang w:eastAsia="ar-SA"/>
        </w:rPr>
      </w:pPr>
    </w:p>
    <w:p w:rsidR="00316345" w:rsidRPr="005E0C6D" w:rsidRDefault="00316345" w:rsidP="008F1C8F">
      <w:pPr>
        <w:suppressAutoHyphens/>
        <w:spacing w:after="120"/>
        <w:ind w:firstLine="708"/>
        <w:jc w:val="both"/>
        <w:rPr>
          <w:rFonts w:ascii="Times New Roman" w:hAnsi="Times New Roman"/>
          <w:b/>
          <w:sz w:val="24"/>
          <w:szCs w:val="24"/>
          <w:lang w:eastAsia="ar-SA"/>
        </w:rPr>
      </w:pP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r>
      <w:r w:rsidRPr="005E0C6D">
        <w:rPr>
          <w:rFonts w:ascii="Times New Roman" w:hAnsi="Times New Roman"/>
          <w:b/>
          <w:sz w:val="24"/>
          <w:szCs w:val="24"/>
          <w:lang w:eastAsia="ar-SA"/>
        </w:rPr>
        <w:tab/>
        <w:t>______________________</w:t>
      </w:r>
    </w:p>
    <w:sectPr w:rsidR="00316345" w:rsidRPr="005E0C6D" w:rsidSect="00C72D02">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227"/>
        </w:tabs>
        <w:ind w:left="227" w:hanging="227"/>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144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227"/>
        </w:tabs>
        <w:ind w:left="227" w:hanging="227"/>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228B612E"/>
    <w:multiLevelType w:val="hybridMultilevel"/>
    <w:tmpl w:val="BC8A835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F651A"/>
    <w:rsid w:val="00067FE1"/>
    <w:rsid w:val="0007477B"/>
    <w:rsid w:val="00085AE4"/>
    <w:rsid w:val="000953A1"/>
    <w:rsid w:val="000A20FB"/>
    <w:rsid w:val="00111527"/>
    <w:rsid w:val="00120B97"/>
    <w:rsid w:val="0012697D"/>
    <w:rsid w:val="00130E62"/>
    <w:rsid w:val="001630D0"/>
    <w:rsid w:val="001743B3"/>
    <w:rsid w:val="001C09A3"/>
    <w:rsid w:val="001C1B20"/>
    <w:rsid w:val="001D3E91"/>
    <w:rsid w:val="001F07BC"/>
    <w:rsid w:val="00207713"/>
    <w:rsid w:val="00291EFD"/>
    <w:rsid w:val="002941FE"/>
    <w:rsid w:val="002A5E51"/>
    <w:rsid w:val="002C23D5"/>
    <w:rsid w:val="0031213B"/>
    <w:rsid w:val="00316345"/>
    <w:rsid w:val="00327A34"/>
    <w:rsid w:val="00362424"/>
    <w:rsid w:val="00380DC0"/>
    <w:rsid w:val="00383595"/>
    <w:rsid w:val="003A4E3A"/>
    <w:rsid w:val="003D650C"/>
    <w:rsid w:val="00400116"/>
    <w:rsid w:val="004A2C31"/>
    <w:rsid w:val="004C701B"/>
    <w:rsid w:val="004D7503"/>
    <w:rsid w:val="004E5B41"/>
    <w:rsid w:val="004F651A"/>
    <w:rsid w:val="00502999"/>
    <w:rsid w:val="00502E1D"/>
    <w:rsid w:val="005064F7"/>
    <w:rsid w:val="00514856"/>
    <w:rsid w:val="005169FC"/>
    <w:rsid w:val="00546D7A"/>
    <w:rsid w:val="0059298E"/>
    <w:rsid w:val="00593077"/>
    <w:rsid w:val="005B32CC"/>
    <w:rsid w:val="005E0C6D"/>
    <w:rsid w:val="005E1329"/>
    <w:rsid w:val="005F3D79"/>
    <w:rsid w:val="006404A0"/>
    <w:rsid w:val="00664C87"/>
    <w:rsid w:val="0068108C"/>
    <w:rsid w:val="006F394B"/>
    <w:rsid w:val="00736BCE"/>
    <w:rsid w:val="0075147E"/>
    <w:rsid w:val="00751E6A"/>
    <w:rsid w:val="00752CBC"/>
    <w:rsid w:val="007872B2"/>
    <w:rsid w:val="007936BF"/>
    <w:rsid w:val="007944E6"/>
    <w:rsid w:val="007A3B6B"/>
    <w:rsid w:val="007A74AF"/>
    <w:rsid w:val="007B6108"/>
    <w:rsid w:val="007D123D"/>
    <w:rsid w:val="007E309A"/>
    <w:rsid w:val="00853038"/>
    <w:rsid w:val="00855629"/>
    <w:rsid w:val="00863910"/>
    <w:rsid w:val="00895BBB"/>
    <w:rsid w:val="008A65D2"/>
    <w:rsid w:val="008F1C8F"/>
    <w:rsid w:val="0095465B"/>
    <w:rsid w:val="009925BB"/>
    <w:rsid w:val="009A3181"/>
    <w:rsid w:val="009D2F1C"/>
    <w:rsid w:val="00A23CF1"/>
    <w:rsid w:val="00A62582"/>
    <w:rsid w:val="00A66FC3"/>
    <w:rsid w:val="00A852AB"/>
    <w:rsid w:val="00AC0B6B"/>
    <w:rsid w:val="00AC5FEB"/>
    <w:rsid w:val="00AD58FD"/>
    <w:rsid w:val="00AE4F28"/>
    <w:rsid w:val="00AF0767"/>
    <w:rsid w:val="00B02F1A"/>
    <w:rsid w:val="00B04E65"/>
    <w:rsid w:val="00B24D18"/>
    <w:rsid w:val="00B4543B"/>
    <w:rsid w:val="00B80264"/>
    <w:rsid w:val="00BB1C70"/>
    <w:rsid w:val="00BC70A2"/>
    <w:rsid w:val="00BC7C49"/>
    <w:rsid w:val="00BD4B39"/>
    <w:rsid w:val="00C15638"/>
    <w:rsid w:val="00C16638"/>
    <w:rsid w:val="00C43306"/>
    <w:rsid w:val="00C44EBB"/>
    <w:rsid w:val="00C479D4"/>
    <w:rsid w:val="00C51F1D"/>
    <w:rsid w:val="00C72D02"/>
    <w:rsid w:val="00C857F8"/>
    <w:rsid w:val="00CC4BEB"/>
    <w:rsid w:val="00D22F59"/>
    <w:rsid w:val="00D807D6"/>
    <w:rsid w:val="00D96257"/>
    <w:rsid w:val="00DD647B"/>
    <w:rsid w:val="00E238CF"/>
    <w:rsid w:val="00E36A8F"/>
    <w:rsid w:val="00E66367"/>
    <w:rsid w:val="00E70695"/>
    <w:rsid w:val="00F12D66"/>
    <w:rsid w:val="00F26905"/>
    <w:rsid w:val="00F54311"/>
    <w:rsid w:val="00F6541E"/>
    <w:rsid w:val="00F7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BC"/>
    <w:pPr>
      <w:spacing w:after="200" w:line="276" w:lineRule="auto"/>
    </w:pPr>
    <w:rPr>
      <w:sz w:val="22"/>
      <w:szCs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cimalAligned">
    <w:name w:val="Decimal Aligned"/>
    <w:basedOn w:val="Normal"/>
    <w:uiPriority w:val="40"/>
    <w:qFormat/>
    <w:rsid w:val="007A3B6B"/>
    <w:pPr>
      <w:tabs>
        <w:tab w:val="decimal" w:pos="360"/>
      </w:tabs>
    </w:pPr>
    <w:rPr>
      <w:lang w:eastAsia="hr-HR"/>
    </w:rPr>
  </w:style>
  <w:style w:type="paragraph" w:styleId="Tekstfusnote">
    <w:name w:val="footnote text"/>
    <w:basedOn w:val="Normal"/>
    <w:link w:val="TekstfusnoteChar"/>
    <w:uiPriority w:val="99"/>
    <w:unhideWhenUsed/>
    <w:rsid w:val="007A3B6B"/>
    <w:pPr>
      <w:spacing w:after="0" w:line="240" w:lineRule="auto"/>
    </w:pPr>
    <w:rPr>
      <w:rFonts w:eastAsia="Times New Roman"/>
      <w:sz w:val="20"/>
      <w:szCs w:val="20"/>
      <w:lang w:eastAsia="hr-HR"/>
    </w:rPr>
  </w:style>
  <w:style w:type="character" w:customStyle="1" w:styleId="TekstfusnoteChar">
    <w:name w:val="Tekst fusnote Char"/>
    <w:link w:val="Tekstfusnote"/>
    <w:uiPriority w:val="99"/>
    <w:rsid w:val="007A3B6B"/>
    <w:rPr>
      <w:rFonts w:eastAsia="Times New Roman"/>
      <w:sz w:val="20"/>
      <w:szCs w:val="20"/>
      <w:lang w:eastAsia="hr-HR"/>
    </w:rPr>
  </w:style>
  <w:style w:type="character" w:styleId="Neupadljivoisticanje">
    <w:name w:val="Subtle Emphasis"/>
    <w:uiPriority w:val="19"/>
    <w:qFormat/>
    <w:rsid w:val="007A3B6B"/>
    <w:rPr>
      <w:i/>
      <w:iCs/>
      <w:color w:val="7F7F7F"/>
    </w:rPr>
  </w:style>
  <w:style w:type="table" w:styleId="Srednjesjenanje2-Isticanje5">
    <w:name w:val="Medium Shading 2 Accent 5"/>
    <w:basedOn w:val="Obinatablica"/>
    <w:uiPriority w:val="64"/>
    <w:rsid w:val="007A3B6B"/>
    <w:rPr>
      <w:rFonts w:eastAsia="Times New Roman"/>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etkatablice">
    <w:name w:val="Table Grid"/>
    <w:basedOn w:val="Obinatablica"/>
    <w:uiPriority w:val="59"/>
    <w:rsid w:val="00067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72D02"/>
    <w:pPr>
      <w:spacing w:after="0" w:line="240" w:lineRule="auto"/>
    </w:pPr>
    <w:rPr>
      <w:rFonts w:ascii="Segoe UI" w:hAnsi="Segoe UI"/>
      <w:sz w:val="18"/>
      <w:szCs w:val="18"/>
    </w:rPr>
  </w:style>
  <w:style w:type="character" w:customStyle="1" w:styleId="TekstbaloniaChar">
    <w:name w:val="Tekst balončića Char"/>
    <w:link w:val="Tekstbalonia"/>
    <w:uiPriority w:val="99"/>
    <w:semiHidden/>
    <w:rsid w:val="00C72D02"/>
    <w:rPr>
      <w:rFonts w:ascii="Segoe UI" w:hAnsi="Segoe UI" w:cs="Segoe UI"/>
      <w:sz w:val="18"/>
      <w:szCs w:val="18"/>
      <w:lang w:eastAsia="en-US"/>
    </w:rPr>
  </w:style>
  <w:style w:type="paragraph" w:styleId="Odlomakpopisa">
    <w:name w:val="List Paragraph"/>
    <w:basedOn w:val="Normal"/>
    <w:uiPriority w:val="34"/>
    <w:qFormat/>
    <w:rsid w:val="004D7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8338">
      <w:bodyDiv w:val="1"/>
      <w:marLeft w:val="0"/>
      <w:marRight w:val="0"/>
      <w:marTop w:val="0"/>
      <w:marBottom w:val="0"/>
      <w:divBdr>
        <w:top w:val="none" w:sz="0" w:space="0" w:color="auto"/>
        <w:left w:val="none" w:sz="0" w:space="0" w:color="auto"/>
        <w:bottom w:val="none" w:sz="0" w:space="0" w:color="auto"/>
        <w:right w:val="none" w:sz="0" w:space="0" w:color="auto"/>
      </w:divBdr>
    </w:div>
    <w:div w:id="1122572813">
      <w:bodyDiv w:val="1"/>
      <w:marLeft w:val="0"/>
      <w:marRight w:val="0"/>
      <w:marTop w:val="0"/>
      <w:marBottom w:val="0"/>
      <w:divBdr>
        <w:top w:val="none" w:sz="0" w:space="0" w:color="auto"/>
        <w:left w:val="none" w:sz="0" w:space="0" w:color="auto"/>
        <w:bottom w:val="none" w:sz="0" w:space="0" w:color="auto"/>
        <w:right w:val="none" w:sz="0" w:space="0" w:color="auto"/>
      </w:divBdr>
    </w:div>
    <w:div w:id="1130855112">
      <w:bodyDiv w:val="1"/>
      <w:marLeft w:val="0"/>
      <w:marRight w:val="0"/>
      <w:marTop w:val="0"/>
      <w:marBottom w:val="0"/>
      <w:divBdr>
        <w:top w:val="none" w:sz="0" w:space="0" w:color="auto"/>
        <w:left w:val="none" w:sz="0" w:space="0" w:color="auto"/>
        <w:bottom w:val="none" w:sz="0" w:space="0" w:color="auto"/>
        <w:right w:val="none" w:sz="0" w:space="0" w:color="auto"/>
      </w:divBdr>
    </w:div>
    <w:div w:id="1381858721">
      <w:bodyDiv w:val="1"/>
      <w:marLeft w:val="0"/>
      <w:marRight w:val="0"/>
      <w:marTop w:val="0"/>
      <w:marBottom w:val="0"/>
      <w:divBdr>
        <w:top w:val="none" w:sz="0" w:space="0" w:color="auto"/>
        <w:left w:val="none" w:sz="0" w:space="0" w:color="auto"/>
        <w:bottom w:val="none" w:sz="0" w:space="0" w:color="auto"/>
        <w:right w:val="none" w:sz="0" w:space="0" w:color="auto"/>
      </w:divBdr>
    </w:div>
    <w:div w:id="1808008977">
      <w:bodyDiv w:val="1"/>
      <w:marLeft w:val="0"/>
      <w:marRight w:val="0"/>
      <w:marTop w:val="0"/>
      <w:marBottom w:val="0"/>
      <w:divBdr>
        <w:top w:val="none" w:sz="0" w:space="0" w:color="auto"/>
        <w:left w:val="none" w:sz="0" w:space="0" w:color="auto"/>
        <w:bottom w:val="none" w:sz="0" w:space="0" w:color="auto"/>
        <w:right w:val="none" w:sz="0" w:space="0" w:color="auto"/>
      </w:divBdr>
    </w:div>
    <w:div w:id="18373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0FB4-04EB-4AAE-86A8-56EC7690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Karlovačka županija</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Stanković Čohan</dc:creator>
  <cp:lastModifiedBy>Ana</cp:lastModifiedBy>
  <cp:revision>2</cp:revision>
  <cp:lastPrinted>2014-10-02T06:24:00Z</cp:lastPrinted>
  <dcterms:created xsi:type="dcterms:W3CDTF">2019-02-14T13:17:00Z</dcterms:created>
  <dcterms:modified xsi:type="dcterms:W3CDTF">2019-02-14T13:17:00Z</dcterms:modified>
</cp:coreProperties>
</file>